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4300" w14:textId="77777777" w:rsidR="000407E4" w:rsidRPr="00AE6015" w:rsidRDefault="00AF2D4B" w:rsidP="00B97B16">
      <w:pPr>
        <w:pStyle w:val="ITTMainHeading"/>
        <w:spacing w:line="240" w:lineRule="auto"/>
      </w:pPr>
      <w:r w:rsidRPr="00AE6015">
        <w:t>External Assessment Centres</w:t>
      </w:r>
      <w:r w:rsidR="006F7A67" w:rsidRPr="00AE6015">
        <w:t xml:space="preserve"> </w:t>
      </w:r>
      <w:r w:rsidR="00404346" w:rsidRPr="00AE6015">
        <w:t>Service Specification</w:t>
      </w:r>
      <w:r w:rsidR="00234B21" w:rsidRPr="00AE6015">
        <w:t xml:space="preserve"> of Requirements</w:t>
      </w:r>
    </w:p>
    <w:p w14:paraId="72147AE5" w14:textId="1A95DE09" w:rsidR="000C45A5" w:rsidRPr="00AE6015" w:rsidRDefault="000C45A5" w:rsidP="00B97B16">
      <w:pPr>
        <w:pStyle w:val="ITTMainHeading"/>
        <w:spacing w:line="240" w:lineRule="auto"/>
        <w:rPr>
          <w:color w:val="365F91" w:themeColor="accent1" w:themeShade="BF"/>
        </w:rPr>
      </w:pPr>
      <w:r w:rsidRPr="00AE6015">
        <w:rPr>
          <w:color w:val="365F91" w:themeColor="accent1" w:themeShade="BF"/>
        </w:rPr>
        <w:t xml:space="preserve">LOT </w:t>
      </w:r>
      <w:r w:rsidR="00782174" w:rsidRPr="00AE6015">
        <w:rPr>
          <w:color w:val="365F91" w:themeColor="accent1" w:themeShade="BF"/>
        </w:rPr>
        <w:t>3</w:t>
      </w:r>
      <w:r w:rsidR="00176C83">
        <w:rPr>
          <w:color w:val="365F91" w:themeColor="accent1" w:themeShade="BF"/>
        </w:rPr>
        <w:t>b</w:t>
      </w:r>
      <w:r w:rsidR="005E0873" w:rsidRPr="00AE6015">
        <w:rPr>
          <w:color w:val="365F91" w:themeColor="accent1" w:themeShade="BF"/>
        </w:rPr>
        <w:t xml:space="preserve"> </w:t>
      </w:r>
      <w:r w:rsidR="00AE6015" w:rsidRPr="00AE6015">
        <w:rPr>
          <w:color w:val="365F91"/>
        </w:rPr>
        <w:t>Real World Evidence Generation for Managed Access</w:t>
      </w:r>
    </w:p>
    <w:p w14:paraId="45B4D0DB" w14:textId="77777777" w:rsidR="0049431B" w:rsidRPr="00AE6015" w:rsidRDefault="0049431B" w:rsidP="00307335">
      <w:pPr>
        <w:pStyle w:val="ITTgenericheading"/>
      </w:pPr>
    </w:p>
    <w:p w14:paraId="44BD2B23" w14:textId="77777777" w:rsidR="0049431B" w:rsidRPr="00AE6015" w:rsidRDefault="00311A6D" w:rsidP="00307335">
      <w:pPr>
        <w:pStyle w:val="ITTgenericheading"/>
      </w:pPr>
      <w:r w:rsidRPr="00AE6015">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AE6015" w14:paraId="5ED023E3" w14:textId="77777777" w:rsidTr="00D871BF">
        <w:tc>
          <w:tcPr>
            <w:tcW w:w="2214" w:type="dxa"/>
            <w:vAlign w:val="center"/>
          </w:tcPr>
          <w:p w14:paraId="282CC5CB" w14:textId="77777777" w:rsidR="0049431B" w:rsidRPr="00AE6015" w:rsidRDefault="0049431B" w:rsidP="00891321">
            <w:pPr>
              <w:spacing w:before="60" w:after="60" w:line="240" w:lineRule="auto"/>
              <w:rPr>
                <w:rFonts w:ascii="Arial" w:hAnsi="Arial" w:cs="Arial"/>
              </w:rPr>
            </w:pPr>
            <w:r w:rsidRPr="00AE6015">
              <w:rPr>
                <w:rFonts w:ascii="Arial" w:hAnsi="Arial" w:cs="Arial"/>
              </w:rPr>
              <w:t>Version Number</w:t>
            </w:r>
          </w:p>
        </w:tc>
        <w:tc>
          <w:tcPr>
            <w:tcW w:w="2214" w:type="dxa"/>
            <w:vAlign w:val="center"/>
          </w:tcPr>
          <w:p w14:paraId="58ACBBAF" w14:textId="77777777" w:rsidR="0049431B" w:rsidRPr="00AE6015" w:rsidRDefault="0049431B" w:rsidP="00891321">
            <w:pPr>
              <w:spacing w:before="60" w:after="60" w:line="240" w:lineRule="auto"/>
              <w:rPr>
                <w:rFonts w:ascii="Arial" w:hAnsi="Arial" w:cs="Arial"/>
              </w:rPr>
            </w:pPr>
            <w:r w:rsidRPr="00AE6015">
              <w:rPr>
                <w:rFonts w:ascii="Arial" w:hAnsi="Arial" w:cs="Arial"/>
              </w:rPr>
              <w:t>Last Updated</w:t>
            </w:r>
          </w:p>
        </w:tc>
        <w:tc>
          <w:tcPr>
            <w:tcW w:w="2214" w:type="dxa"/>
            <w:vAlign w:val="center"/>
          </w:tcPr>
          <w:p w14:paraId="75A91897" w14:textId="77777777" w:rsidR="0049431B" w:rsidRPr="00AE6015" w:rsidRDefault="000E5F05" w:rsidP="00891321">
            <w:pPr>
              <w:spacing w:before="60" w:after="60" w:line="240" w:lineRule="auto"/>
              <w:rPr>
                <w:rFonts w:ascii="Arial" w:hAnsi="Arial" w:cs="Arial"/>
              </w:rPr>
            </w:pPr>
            <w:r w:rsidRPr="00AE6015">
              <w:rPr>
                <w:rFonts w:ascii="Arial" w:hAnsi="Arial" w:cs="Arial"/>
              </w:rPr>
              <w:t>Amendment ref</w:t>
            </w:r>
          </w:p>
        </w:tc>
        <w:tc>
          <w:tcPr>
            <w:tcW w:w="2214" w:type="dxa"/>
            <w:vAlign w:val="center"/>
          </w:tcPr>
          <w:p w14:paraId="732147E5" w14:textId="77777777" w:rsidR="0049431B" w:rsidRPr="00AE6015" w:rsidRDefault="0049431B" w:rsidP="00891321">
            <w:pPr>
              <w:spacing w:before="60" w:after="60" w:line="240" w:lineRule="auto"/>
              <w:rPr>
                <w:rFonts w:ascii="Arial" w:hAnsi="Arial" w:cs="Arial"/>
              </w:rPr>
            </w:pPr>
            <w:r w:rsidRPr="00AE6015">
              <w:rPr>
                <w:rFonts w:ascii="Arial" w:hAnsi="Arial" w:cs="Arial"/>
              </w:rPr>
              <w:t>Initials</w:t>
            </w:r>
          </w:p>
        </w:tc>
      </w:tr>
      <w:tr w:rsidR="0049431B" w:rsidRPr="00AE6015" w14:paraId="15A6384E" w14:textId="77777777" w:rsidTr="00D871BF">
        <w:tc>
          <w:tcPr>
            <w:tcW w:w="2214" w:type="dxa"/>
            <w:vAlign w:val="center"/>
          </w:tcPr>
          <w:p w14:paraId="71FD9381" w14:textId="5F22E300" w:rsidR="0049431B" w:rsidRPr="00AE6015" w:rsidRDefault="001074FA" w:rsidP="00891321">
            <w:pPr>
              <w:spacing w:before="60" w:after="60" w:line="240" w:lineRule="auto"/>
              <w:rPr>
                <w:rFonts w:ascii="Arial" w:hAnsi="Arial" w:cs="Arial"/>
              </w:rPr>
            </w:pPr>
            <w:r>
              <w:rPr>
                <w:rFonts w:ascii="Arial" w:hAnsi="Arial" w:cs="Arial"/>
              </w:rPr>
              <w:t>Draft for review</w:t>
            </w:r>
          </w:p>
        </w:tc>
        <w:tc>
          <w:tcPr>
            <w:tcW w:w="2214" w:type="dxa"/>
            <w:vAlign w:val="center"/>
          </w:tcPr>
          <w:p w14:paraId="2810A61D" w14:textId="526C3BE0" w:rsidR="0049431B" w:rsidRPr="00AE6015" w:rsidRDefault="0049431B" w:rsidP="00891321">
            <w:pPr>
              <w:spacing w:before="60" w:after="60" w:line="240" w:lineRule="auto"/>
              <w:rPr>
                <w:rFonts w:ascii="Arial" w:hAnsi="Arial" w:cs="Arial"/>
              </w:rPr>
            </w:pPr>
          </w:p>
        </w:tc>
        <w:tc>
          <w:tcPr>
            <w:tcW w:w="2214" w:type="dxa"/>
            <w:vAlign w:val="center"/>
          </w:tcPr>
          <w:p w14:paraId="21C16FE4" w14:textId="1FEF1801" w:rsidR="0049431B" w:rsidRPr="00AE6015" w:rsidRDefault="001074FA" w:rsidP="00BA14F5">
            <w:pPr>
              <w:spacing w:before="60" w:after="60" w:line="240" w:lineRule="auto"/>
              <w:rPr>
                <w:rFonts w:ascii="Arial" w:hAnsi="Arial" w:cs="Arial"/>
              </w:rPr>
            </w:pPr>
            <w:r>
              <w:rPr>
                <w:rFonts w:ascii="Arial" w:hAnsi="Arial" w:cs="Arial"/>
              </w:rPr>
              <w:t>V0.1</w:t>
            </w:r>
          </w:p>
        </w:tc>
        <w:tc>
          <w:tcPr>
            <w:tcW w:w="2214" w:type="dxa"/>
            <w:vAlign w:val="center"/>
          </w:tcPr>
          <w:p w14:paraId="14EE5100" w14:textId="599ED2D3" w:rsidR="0049431B" w:rsidRPr="00AE6015" w:rsidRDefault="001074FA" w:rsidP="00891321">
            <w:pPr>
              <w:spacing w:before="60" w:after="60" w:line="240" w:lineRule="auto"/>
              <w:rPr>
                <w:rFonts w:ascii="Arial" w:hAnsi="Arial" w:cs="Arial"/>
              </w:rPr>
            </w:pPr>
            <w:r>
              <w:rPr>
                <w:rFonts w:ascii="Arial" w:hAnsi="Arial" w:cs="Arial"/>
              </w:rPr>
              <w:t>LD</w:t>
            </w:r>
          </w:p>
        </w:tc>
      </w:tr>
      <w:tr w:rsidR="00556054" w:rsidRPr="00AE6015" w14:paraId="59583B17" w14:textId="77777777" w:rsidTr="00D871BF">
        <w:tc>
          <w:tcPr>
            <w:tcW w:w="2214" w:type="dxa"/>
            <w:vAlign w:val="center"/>
          </w:tcPr>
          <w:p w14:paraId="0A1A24E8" w14:textId="1BFE19E9" w:rsidR="00556054" w:rsidRDefault="00276050" w:rsidP="00891321">
            <w:pPr>
              <w:spacing w:before="60" w:after="60" w:line="240" w:lineRule="auto"/>
              <w:rPr>
                <w:rFonts w:ascii="Arial" w:hAnsi="Arial" w:cs="Arial"/>
              </w:rPr>
            </w:pPr>
            <w:r>
              <w:rPr>
                <w:rFonts w:ascii="Arial" w:hAnsi="Arial" w:cs="Arial"/>
              </w:rPr>
              <w:t>Proofread</w:t>
            </w:r>
          </w:p>
        </w:tc>
        <w:tc>
          <w:tcPr>
            <w:tcW w:w="2214" w:type="dxa"/>
            <w:vAlign w:val="center"/>
          </w:tcPr>
          <w:p w14:paraId="28069952" w14:textId="26B837DD" w:rsidR="00556054" w:rsidRPr="00AE6015" w:rsidRDefault="00276050" w:rsidP="00891321">
            <w:pPr>
              <w:spacing w:before="60" w:after="60" w:line="240" w:lineRule="auto"/>
              <w:rPr>
                <w:rFonts w:ascii="Arial" w:hAnsi="Arial" w:cs="Arial"/>
              </w:rPr>
            </w:pPr>
            <w:r>
              <w:rPr>
                <w:rFonts w:ascii="Arial" w:hAnsi="Arial" w:cs="Arial"/>
              </w:rPr>
              <w:t>30/09/2021</w:t>
            </w:r>
          </w:p>
        </w:tc>
        <w:tc>
          <w:tcPr>
            <w:tcW w:w="2214" w:type="dxa"/>
            <w:vAlign w:val="center"/>
          </w:tcPr>
          <w:p w14:paraId="2034ABBE" w14:textId="43477DF8" w:rsidR="00556054" w:rsidRDefault="00276050" w:rsidP="00BA14F5">
            <w:pPr>
              <w:spacing w:before="60" w:after="60" w:line="240" w:lineRule="auto"/>
              <w:rPr>
                <w:rFonts w:ascii="Arial" w:hAnsi="Arial" w:cs="Arial"/>
              </w:rPr>
            </w:pPr>
            <w:proofErr w:type="spellStart"/>
            <w:r>
              <w:rPr>
                <w:rFonts w:ascii="Arial" w:hAnsi="Arial" w:cs="Arial"/>
              </w:rPr>
              <w:t>FfR</w:t>
            </w:r>
            <w:proofErr w:type="spellEnd"/>
          </w:p>
        </w:tc>
        <w:tc>
          <w:tcPr>
            <w:tcW w:w="2214" w:type="dxa"/>
            <w:vAlign w:val="center"/>
          </w:tcPr>
          <w:p w14:paraId="1FAD6068" w14:textId="46B658CE" w:rsidR="00556054" w:rsidRDefault="00276050" w:rsidP="00891321">
            <w:pPr>
              <w:spacing w:before="60" w:after="60" w:line="240" w:lineRule="auto"/>
              <w:rPr>
                <w:rFonts w:ascii="Arial" w:hAnsi="Arial" w:cs="Arial"/>
              </w:rPr>
            </w:pPr>
            <w:r>
              <w:rPr>
                <w:rFonts w:ascii="Arial" w:hAnsi="Arial" w:cs="Arial"/>
              </w:rPr>
              <w:t>SW</w:t>
            </w:r>
          </w:p>
        </w:tc>
      </w:tr>
    </w:tbl>
    <w:p w14:paraId="3A4BD3D3" w14:textId="708AB023" w:rsidR="0049431B" w:rsidRPr="00AE6015" w:rsidRDefault="0049431B" w:rsidP="00B97B16">
      <w:pPr>
        <w:spacing w:line="240" w:lineRule="auto"/>
        <w:rPr>
          <w:rFonts w:ascii="Arial" w:hAnsi="Arial" w:cs="Arial"/>
        </w:rPr>
      </w:pPr>
    </w:p>
    <w:p w14:paraId="0A0A1EE5" w14:textId="77777777" w:rsidR="00E734A2" w:rsidRPr="00AE6015"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rsidRPr="00AE6015">
        <w:rPr>
          <w:rFonts w:ascii="Arial" w:hAnsi="Arial" w:cs="Arial"/>
        </w:rPr>
        <w:br w:type="page"/>
      </w:r>
    </w:p>
    <w:p w14:paraId="783E7976" w14:textId="77777777" w:rsidR="0073069B" w:rsidRPr="00AE6015" w:rsidRDefault="0073069B" w:rsidP="00B97B16">
      <w:pPr>
        <w:spacing w:line="240" w:lineRule="auto"/>
        <w:rPr>
          <w:rFonts w:ascii="Arial" w:hAnsi="Arial" w:cs="Arial"/>
        </w:rPr>
        <w:sectPr w:rsidR="0073069B" w:rsidRPr="00AE6015" w:rsidSect="009D218E">
          <w:headerReference w:type="default" r:id="rId8"/>
          <w:footerReference w:type="default" r:id="rId9"/>
          <w:pgSz w:w="11907" w:h="16839" w:code="9"/>
          <w:pgMar w:top="1440" w:right="1440" w:bottom="1440" w:left="1440" w:header="708" w:footer="708" w:gutter="0"/>
          <w:cols w:space="708"/>
          <w:titlePg/>
          <w:docGrid w:linePitch="360"/>
        </w:sectPr>
      </w:pPr>
      <w:bookmarkStart w:id="9" w:name="_Toc306113811"/>
      <w:bookmarkStart w:id="10" w:name="_Toc304987718"/>
      <w:bookmarkStart w:id="11" w:name="_Toc305151711"/>
      <w:bookmarkStart w:id="12" w:name="_Toc304983222"/>
      <w:bookmarkEnd w:id="0"/>
      <w:bookmarkEnd w:id="1"/>
      <w:bookmarkEnd w:id="2"/>
      <w:bookmarkEnd w:id="3"/>
      <w:bookmarkEnd w:id="4"/>
      <w:bookmarkEnd w:id="5"/>
      <w:bookmarkEnd w:id="6"/>
      <w:bookmarkEnd w:id="7"/>
      <w:bookmarkEnd w:id="8"/>
    </w:p>
    <w:bookmarkEnd w:id="12" w:displacedByCustomXml="next"/>
    <w:bookmarkEnd w:id="11" w:displacedByCustomXml="next"/>
    <w:bookmarkEnd w:id="10" w:displacedByCustomXml="next"/>
    <w:bookmarkEnd w:id="9" w:displacedByCustomXml="next"/>
    <w:sdt>
      <w:sdtPr>
        <w:rPr>
          <w:rFonts w:ascii="Calibri" w:eastAsia="Times New Roman" w:hAnsi="Calibri" w:cs="Times New Roman"/>
          <w:color w:val="auto"/>
          <w:sz w:val="22"/>
          <w:szCs w:val="22"/>
          <w:lang w:bidi="en-US"/>
        </w:rPr>
        <w:id w:val="983664345"/>
        <w:docPartObj>
          <w:docPartGallery w:val="Table of Contents"/>
          <w:docPartUnique/>
        </w:docPartObj>
      </w:sdtPr>
      <w:sdtEndPr>
        <w:rPr>
          <w:b/>
          <w:bCs/>
          <w:noProof/>
        </w:rPr>
      </w:sdtEndPr>
      <w:sdtContent>
        <w:p w14:paraId="25DB0BF8" w14:textId="39842374" w:rsidR="00092490" w:rsidRPr="00C37B12" w:rsidRDefault="00092490" w:rsidP="00092490">
          <w:pPr>
            <w:pStyle w:val="TOCHeading"/>
            <w:ind w:right="-45"/>
            <w:rPr>
              <w:rFonts w:ascii="Arial" w:hAnsi="Arial" w:cs="Arial"/>
            </w:rPr>
          </w:pPr>
          <w:r w:rsidRPr="00C37B12">
            <w:rPr>
              <w:rFonts w:ascii="Arial" w:hAnsi="Arial" w:cs="Arial"/>
            </w:rPr>
            <w:t>Contents</w:t>
          </w:r>
        </w:p>
        <w:p w14:paraId="7109FB66" w14:textId="539BA68B" w:rsidR="00092490" w:rsidRPr="00C37B12" w:rsidRDefault="00092490">
          <w:pPr>
            <w:pStyle w:val="TOC1"/>
            <w:rPr>
              <w:rFonts w:ascii="Arial" w:eastAsiaTheme="minorEastAsia" w:hAnsi="Arial" w:cs="Arial"/>
              <w:noProof/>
              <w:lang w:eastAsia="en-GB" w:bidi="ar-SA"/>
            </w:rPr>
          </w:pPr>
          <w:r w:rsidRPr="00C37B12">
            <w:rPr>
              <w:rFonts w:ascii="Arial" w:hAnsi="Arial" w:cs="Arial"/>
            </w:rPr>
            <w:fldChar w:fldCharType="begin"/>
          </w:r>
          <w:r w:rsidRPr="00C37B12">
            <w:rPr>
              <w:rFonts w:ascii="Arial" w:hAnsi="Arial" w:cs="Arial"/>
            </w:rPr>
            <w:instrText xml:space="preserve"> TOC \o "1-2" \h \z \u </w:instrText>
          </w:r>
          <w:r w:rsidRPr="00C37B12">
            <w:rPr>
              <w:rFonts w:ascii="Arial" w:hAnsi="Arial" w:cs="Arial"/>
            </w:rPr>
            <w:fldChar w:fldCharType="separate"/>
          </w:r>
          <w:hyperlink w:anchor="_Toc83902640" w:history="1">
            <w:r w:rsidRPr="00C37B12">
              <w:rPr>
                <w:rStyle w:val="Hyperlink"/>
                <w:rFonts w:ascii="Arial" w:hAnsi="Arial" w:cs="Arial"/>
                <w:noProof/>
              </w:rPr>
              <w:t>1</w:t>
            </w:r>
            <w:r w:rsidRPr="00C37B12">
              <w:rPr>
                <w:rFonts w:ascii="Arial" w:eastAsiaTheme="minorEastAsia" w:hAnsi="Arial" w:cs="Arial"/>
                <w:noProof/>
                <w:lang w:eastAsia="en-GB" w:bidi="ar-SA"/>
              </w:rPr>
              <w:tab/>
            </w:r>
            <w:r w:rsidRPr="00C37B12">
              <w:rPr>
                <w:rStyle w:val="Hyperlink"/>
                <w:rFonts w:ascii="Arial" w:hAnsi="Arial" w:cs="Arial"/>
                <w:noProof/>
              </w:rPr>
              <w:t>Main activities of the Suppliers in Lot 3b – Real World Evidence Generation for Managed Access</w:t>
            </w:r>
            <w:r w:rsidRPr="00C37B12">
              <w:rPr>
                <w:rFonts w:ascii="Arial" w:hAnsi="Arial" w:cs="Arial"/>
                <w:noProof/>
                <w:webHidden/>
              </w:rPr>
              <w:tab/>
            </w:r>
            <w:r w:rsidRPr="00C37B12">
              <w:rPr>
                <w:rFonts w:ascii="Arial" w:hAnsi="Arial" w:cs="Arial"/>
                <w:noProof/>
                <w:webHidden/>
              </w:rPr>
              <w:fldChar w:fldCharType="begin"/>
            </w:r>
            <w:r w:rsidRPr="00C37B12">
              <w:rPr>
                <w:rFonts w:ascii="Arial" w:hAnsi="Arial" w:cs="Arial"/>
                <w:noProof/>
                <w:webHidden/>
              </w:rPr>
              <w:instrText xml:space="preserve"> PAGEREF _Toc83902640 \h </w:instrText>
            </w:r>
            <w:r w:rsidRPr="00C37B12">
              <w:rPr>
                <w:rFonts w:ascii="Arial" w:hAnsi="Arial" w:cs="Arial"/>
                <w:noProof/>
                <w:webHidden/>
              </w:rPr>
            </w:r>
            <w:r w:rsidRPr="00C37B12">
              <w:rPr>
                <w:rFonts w:ascii="Arial" w:hAnsi="Arial" w:cs="Arial"/>
                <w:noProof/>
                <w:webHidden/>
              </w:rPr>
              <w:fldChar w:fldCharType="separate"/>
            </w:r>
            <w:r w:rsidRPr="00C37B12">
              <w:rPr>
                <w:rFonts w:ascii="Arial" w:hAnsi="Arial" w:cs="Arial"/>
                <w:noProof/>
                <w:webHidden/>
              </w:rPr>
              <w:t>3</w:t>
            </w:r>
            <w:r w:rsidRPr="00C37B12">
              <w:rPr>
                <w:rFonts w:ascii="Arial" w:hAnsi="Arial" w:cs="Arial"/>
                <w:noProof/>
                <w:webHidden/>
              </w:rPr>
              <w:fldChar w:fldCharType="end"/>
            </w:r>
          </w:hyperlink>
        </w:p>
        <w:p w14:paraId="26FE5DF6" w14:textId="6458237F" w:rsidR="00092490" w:rsidRPr="00C37B12" w:rsidRDefault="00B45F2F">
          <w:pPr>
            <w:pStyle w:val="TOC1"/>
            <w:rPr>
              <w:rFonts w:ascii="Arial" w:eastAsiaTheme="minorEastAsia" w:hAnsi="Arial" w:cs="Arial"/>
              <w:noProof/>
              <w:lang w:eastAsia="en-GB" w:bidi="ar-SA"/>
            </w:rPr>
          </w:pPr>
          <w:hyperlink w:anchor="_Toc83902641" w:history="1">
            <w:r w:rsidR="00092490" w:rsidRPr="00C37B12">
              <w:rPr>
                <w:rStyle w:val="Hyperlink"/>
                <w:rFonts w:ascii="Arial" w:hAnsi="Arial" w:cs="Arial"/>
                <w:noProof/>
              </w:rPr>
              <w:t>2</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Lot 3b – Real World Evidence Generation for Managed Access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_Toc83902641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4</w:t>
            </w:r>
            <w:r w:rsidR="00092490" w:rsidRPr="00C37B12">
              <w:rPr>
                <w:rFonts w:ascii="Arial" w:hAnsi="Arial" w:cs="Arial"/>
                <w:noProof/>
                <w:webHidden/>
              </w:rPr>
              <w:fldChar w:fldCharType="end"/>
            </w:r>
          </w:hyperlink>
        </w:p>
        <w:p w14:paraId="07675B0C" w14:textId="21921A37"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2" w:history="1">
            <w:r w:rsidR="00092490" w:rsidRPr="00C37B12">
              <w:rPr>
                <w:rStyle w:val="Hyperlink"/>
                <w:rFonts w:ascii="Arial" w:hAnsi="Arial" w:cs="Arial"/>
                <w:noProof/>
              </w:rPr>
              <w:t>2.1</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Evidence generation, analysis and oversight</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_Toc83902642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4</w:t>
            </w:r>
            <w:r w:rsidR="00092490" w:rsidRPr="00C37B12">
              <w:rPr>
                <w:rFonts w:ascii="Arial" w:hAnsi="Arial" w:cs="Arial"/>
                <w:noProof/>
                <w:webHidden/>
              </w:rPr>
              <w:fldChar w:fldCharType="end"/>
            </w:r>
          </w:hyperlink>
        </w:p>
        <w:p w14:paraId="231C8313" w14:textId="7BBC0EE8"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3" w:history="1">
            <w:r w:rsidR="00092490" w:rsidRPr="00C37B12">
              <w:rPr>
                <w:rStyle w:val="Hyperlink"/>
                <w:rFonts w:ascii="Arial" w:hAnsi="Arial" w:cs="Arial"/>
                <w:noProof/>
              </w:rPr>
              <w:t>2.2</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Role of the Supplier and specification</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_Toc83902643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5</w:t>
            </w:r>
            <w:r w:rsidR="00092490" w:rsidRPr="00C37B12">
              <w:rPr>
                <w:rFonts w:ascii="Arial" w:hAnsi="Arial" w:cs="Arial"/>
                <w:noProof/>
                <w:webHidden/>
              </w:rPr>
              <w:fldChar w:fldCharType="end"/>
            </w:r>
          </w:hyperlink>
        </w:p>
        <w:p w14:paraId="17DD2DB9" w14:textId="753D19A5"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4" w:history="1">
            <w:r w:rsidR="00092490" w:rsidRPr="00C37B12">
              <w:rPr>
                <w:rStyle w:val="Hyperlink"/>
                <w:rFonts w:ascii="Arial" w:hAnsi="Arial" w:cs="Arial"/>
                <w:noProof/>
              </w:rPr>
              <w:t>2.3</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Compiling and analysing observational data based on registers or databases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_Toc83902644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7</w:t>
            </w:r>
            <w:r w:rsidR="00092490" w:rsidRPr="00C37B12">
              <w:rPr>
                <w:rFonts w:ascii="Arial" w:hAnsi="Arial" w:cs="Arial"/>
                <w:noProof/>
                <w:webHidden/>
              </w:rPr>
              <w:fldChar w:fldCharType="end"/>
            </w:r>
          </w:hyperlink>
        </w:p>
        <w:p w14:paraId="1B2FC011" w14:textId="1488DF6E"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5" w:history="1">
            <w:r w:rsidR="00092490" w:rsidRPr="00C37B12">
              <w:rPr>
                <w:rStyle w:val="Hyperlink"/>
                <w:rFonts w:ascii="Arial" w:hAnsi="Arial" w:cs="Arial"/>
                <w:noProof/>
              </w:rPr>
              <w:t>2.4</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Data collection using new or established registers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_Toc83902645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7</w:t>
            </w:r>
            <w:r w:rsidR="00092490" w:rsidRPr="00C37B12">
              <w:rPr>
                <w:rFonts w:ascii="Arial" w:hAnsi="Arial" w:cs="Arial"/>
                <w:noProof/>
                <w:webHidden/>
              </w:rPr>
              <w:fldChar w:fldCharType="end"/>
            </w:r>
          </w:hyperlink>
        </w:p>
        <w:p w14:paraId="11E805F3" w14:textId="44BA2B11"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6" w:history="1">
            <w:r w:rsidR="00092490" w:rsidRPr="00C37B12">
              <w:rPr>
                <w:rStyle w:val="Hyperlink"/>
                <w:rFonts w:ascii="Arial" w:hAnsi="Arial" w:cs="Arial"/>
                <w:noProof/>
              </w:rPr>
              <w:t>2.5</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Register data quality assurance and analysis – clinical evidence</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_Toc83902646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8</w:t>
            </w:r>
            <w:r w:rsidR="00092490" w:rsidRPr="00C37B12">
              <w:rPr>
                <w:rFonts w:ascii="Arial" w:hAnsi="Arial" w:cs="Arial"/>
                <w:noProof/>
                <w:webHidden/>
              </w:rPr>
              <w:fldChar w:fldCharType="end"/>
            </w:r>
          </w:hyperlink>
        </w:p>
        <w:p w14:paraId="0D38F07B" w14:textId="0AEE4843"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7" w:history="1">
            <w:r w:rsidR="00092490" w:rsidRPr="00C37B12">
              <w:rPr>
                <w:rStyle w:val="Hyperlink"/>
                <w:rFonts w:ascii="Arial" w:hAnsi="Arial" w:cs="Arial"/>
                <w:noProof/>
              </w:rPr>
              <w:t>2.6</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Economic modelling of interventions in registers or databases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_Toc83902647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9</w:t>
            </w:r>
            <w:r w:rsidR="00092490" w:rsidRPr="00C37B12">
              <w:rPr>
                <w:rFonts w:ascii="Arial" w:hAnsi="Arial" w:cs="Arial"/>
                <w:noProof/>
                <w:webHidden/>
              </w:rPr>
              <w:fldChar w:fldCharType="end"/>
            </w:r>
          </w:hyperlink>
        </w:p>
        <w:p w14:paraId="5C6E50CF" w14:textId="75C715C6"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8" w:history="1">
            <w:r w:rsidR="00092490" w:rsidRPr="00C37B12">
              <w:rPr>
                <w:rStyle w:val="Hyperlink"/>
                <w:rFonts w:ascii="Arial" w:hAnsi="Arial" w:cs="Arial"/>
                <w:noProof/>
              </w:rPr>
              <w:t>2.7</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Feasibility studies – Registers, real world evidence generation and managed access projects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_Toc83902648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9</w:t>
            </w:r>
            <w:r w:rsidR="00092490" w:rsidRPr="00C37B12">
              <w:rPr>
                <w:rFonts w:ascii="Arial" w:hAnsi="Arial" w:cs="Arial"/>
                <w:noProof/>
                <w:webHidden/>
              </w:rPr>
              <w:fldChar w:fldCharType="end"/>
            </w:r>
          </w:hyperlink>
        </w:p>
        <w:p w14:paraId="0F1F02E6" w14:textId="4FF2DD42"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49" w:history="1">
            <w:r w:rsidR="00092490" w:rsidRPr="00C37B12">
              <w:rPr>
                <w:rStyle w:val="Hyperlink"/>
                <w:rFonts w:ascii="Arial" w:hAnsi="Arial" w:cs="Arial"/>
                <w:noProof/>
              </w:rPr>
              <w:t>2.8</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Adverse and serious adverse events in trials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_Toc83902649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10</w:t>
            </w:r>
            <w:r w:rsidR="00092490" w:rsidRPr="00C37B12">
              <w:rPr>
                <w:rFonts w:ascii="Arial" w:hAnsi="Arial" w:cs="Arial"/>
                <w:noProof/>
                <w:webHidden/>
              </w:rPr>
              <w:fldChar w:fldCharType="end"/>
            </w:r>
          </w:hyperlink>
        </w:p>
        <w:p w14:paraId="33BEE209" w14:textId="528BF295"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50" w:history="1">
            <w:r w:rsidR="00092490" w:rsidRPr="00C37B12">
              <w:rPr>
                <w:rStyle w:val="Hyperlink"/>
                <w:rFonts w:ascii="Arial" w:hAnsi="Arial" w:cs="Arial"/>
                <w:noProof/>
              </w:rPr>
              <w:t>2.9</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Grant applications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_Toc83902650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10</w:t>
            </w:r>
            <w:r w:rsidR="00092490" w:rsidRPr="00C37B12">
              <w:rPr>
                <w:rFonts w:ascii="Arial" w:hAnsi="Arial" w:cs="Arial"/>
                <w:noProof/>
                <w:webHidden/>
              </w:rPr>
              <w:fldChar w:fldCharType="end"/>
            </w:r>
          </w:hyperlink>
        </w:p>
        <w:p w14:paraId="3CF23AC0" w14:textId="7D733FB5"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51" w:history="1">
            <w:r w:rsidR="00092490" w:rsidRPr="00C37B12">
              <w:rPr>
                <w:rStyle w:val="Hyperlink"/>
                <w:rFonts w:ascii="Arial" w:hAnsi="Arial" w:cs="Arial"/>
                <w:noProof/>
              </w:rPr>
              <w:t>2.10</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Data collection requirements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_Toc83902651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10</w:t>
            </w:r>
            <w:r w:rsidR="00092490" w:rsidRPr="00C37B12">
              <w:rPr>
                <w:rFonts w:ascii="Arial" w:hAnsi="Arial" w:cs="Arial"/>
                <w:noProof/>
                <w:webHidden/>
              </w:rPr>
              <w:fldChar w:fldCharType="end"/>
            </w:r>
          </w:hyperlink>
        </w:p>
        <w:p w14:paraId="33C4BC88" w14:textId="1B864CFA" w:rsidR="00092490" w:rsidRPr="00C37B12" w:rsidRDefault="00B45F2F">
          <w:pPr>
            <w:pStyle w:val="TOC2"/>
            <w:tabs>
              <w:tab w:val="left" w:pos="880"/>
              <w:tab w:val="right" w:leader="dot" w:pos="9017"/>
            </w:tabs>
            <w:rPr>
              <w:rFonts w:ascii="Arial" w:eastAsiaTheme="minorEastAsia" w:hAnsi="Arial" w:cs="Arial"/>
              <w:noProof/>
              <w:lang w:eastAsia="en-GB" w:bidi="ar-SA"/>
            </w:rPr>
          </w:pPr>
          <w:hyperlink w:anchor="_Toc83902652" w:history="1">
            <w:r w:rsidR="00092490" w:rsidRPr="00C37B12">
              <w:rPr>
                <w:rStyle w:val="Hyperlink"/>
                <w:rFonts w:ascii="Arial" w:hAnsi="Arial" w:cs="Arial"/>
                <w:noProof/>
              </w:rPr>
              <w:t>2.11</w:t>
            </w:r>
            <w:r w:rsidR="00092490" w:rsidRPr="00C37B12">
              <w:rPr>
                <w:rFonts w:ascii="Arial" w:eastAsiaTheme="minorEastAsia" w:hAnsi="Arial" w:cs="Arial"/>
                <w:noProof/>
                <w:lang w:eastAsia="en-GB" w:bidi="ar-SA"/>
              </w:rPr>
              <w:tab/>
            </w:r>
            <w:r w:rsidR="00092490" w:rsidRPr="00C37B12">
              <w:rPr>
                <w:rStyle w:val="Hyperlink"/>
                <w:rFonts w:ascii="Arial" w:hAnsi="Arial" w:cs="Arial"/>
                <w:noProof/>
              </w:rPr>
              <w:t>Systematic review and meta-analysis</w:t>
            </w:r>
            <w:r w:rsidR="00092490" w:rsidRPr="00C37B12">
              <w:rPr>
                <w:rFonts w:ascii="Arial" w:hAnsi="Arial" w:cs="Arial"/>
                <w:noProof/>
                <w:webHidden/>
              </w:rPr>
              <w:tab/>
            </w:r>
            <w:r w:rsidR="00092490" w:rsidRPr="00C37B12">
              <w:rPr>
                <w:rFonts w:ascii="Arial" w:hAnsi="Arial" w:cs="Arial"/>
                <w:noProof/>
                <w:webHidden/>
              </w:rPr>
              <w:fldChar w:fldCharType="begin"/>
            </w:r>
            <w:r w:rsidR="00092490" w:rsidRPr="00C37B12">
              <w:rPr>
                <w:rFonts w:ascii="Arial" w:hAnsi="Arial" w:cs="Arial"/>
                <w:noProof/>
                <w:webHidden/>
              </w:rPr>
              <w:instrText xml:space="preserve"> PAGEREF _Toc83902652 \h </w:instrText>
            </w:r>
            <w:r w:rsidR="00092490" w:rsidRPr="00C37B12">
              <w:rPr>
                <w:rFonts w:ascii="Arial" w:hAnsi="Arial" w:cs="Arial"/>
                <w:noProof/>
                <w:webHidden/>
              </w:rPr>
            </w:r>
            <w:r w:rsidR="00092490" w:rsidRPr="00C37B12">
              <w:rPr>
                <w:rFonts w:ascii="Arial" w:hAnsi="Arial" w:cs="Arial"/>
                <w:noProof/>
                <w:webHidden/>
              </w:rPr>
              <w:fldChar w:fldCharType="separate"/>
            </w:r>
            <w:r w:rsidR="00092490" w:rsidRPr="00C37B12">
              <w:rPr>
                <w:rFonts w:ascii="Arial" w:hAnsi="Arial" w:cs="Arial"/>
                <w:noProof/>
                <w:webHidden/>
              </w:rPr>
              <w:t>11</w:t>
            </w:r>
            <w:r w:rsidR="00092490" w:rsidRPr="00C37B12">
              <w:rPr>
                <w:rFonts w:ascii="Arial" w:hAnsi="Arial" w:cs="Arial"/>
                <w:noProof/>
                <w:webHidden/>
              </w:rPr>
              <w:fldChar w:fldCharType="end"/>
            </w:r>
          </w:hyperlink>
        </w:p>
        <w:p w14:paraId="5F66E27D" w14:textId="1D816CA6" w:rsidR="00092490" w:rsidRDefault="00092490">
          <w:r w:rsidRPr="00C37B12">
            <w:rPr>
              <w:rFonts w:ascii="Arial" w:hAnsi="Arial" w:cs="Arial"/>
            </w:rPr>
            <w:fldChar w:fldCharType="end"/>
          </w:r>
        </w:p>
      </w:sdtContent>
    </w:sdt>
    <w:p w14:paraId="4BAB3339" w14:textId="63D98F9D" w:rsidR="005319EC" w:rsidRDefault="00E066D8" w:rsidP="005319EC">
      <w:pPr>
        <w:pStyle w:val="TOC1"/>
        <w:rPr>
          <w:rFonts w:asciiTheme="minorHAnsi" w:eastAsiaTheme="minorEastAsia" w:hAnsiTheme="minorHAnsi" w:cstheme="minorBidi"/>
          <w:noProof/>
          <w:lang w:eastAsia="en-GB" w:bidi="ar-SA"/>
        </w:rPr>
      </w:pPr>
      <w:r w:rsidRPr="00AE6015">
        <w:rPr>
          <w:rFonts w:ascii="Arial" w:hAnsi="Arial" w:cs="Arial"/>
        </w:rPr>
        <w:fldChar w:fldCharType="begin"/>
      </w:r>
      <w:r w:rsidRPr="00AE6015">
        <w:rPr>
          <w:rFonts w:ascii="Arial" w:hAnsi="Arial" w:cs="Arial"/>
        </w:rPr>
        <w:instrText xml:space="preserve"> TOC \o "1-2" \h \z \u </w:instrText>
      </w:r>
      <w:r w:rsidRPr="00AE6015">
        <w:rPr>
          <w:rFonts w:ascii="Arial" w:hAnsi="Arial" w:cs="Arial"/>
        </w:rPr>
        <w:fldChar w:fldCharType="separate"/>
      </w:r>
    </w:p>
    <w:p w14:paraId="53490540" w14:textId="7F993E7C" w:rsidR="00E066D8" w:rsidRPr="00AE6015" w:rsidRDefault="00E066D8">
      <w:pPr>
        <w:spacing w:after="0" w:line="240" w:lineRule="auto"/>
        <w:rPr>
          <w:rFonts w:ascii="Arial" w:hAnsi="Arial" w:cs="Arial"/>
          <w:b/>
          <w:bCs/>
          <w:sz w:val="32"/>
          <w:szCs w:val="28"/>
        </w:rPr>
      </w:pPr>
      <w:r w:rsidRPr="00AE6015">
        <w:rPr>
          <w:rFonts w:ascii="Arial" w:hAnsi="Arial" w:cs="Arial"/>
        </w:rPr>
        <w:fldChar w:fldCharType="end"/>
      </w:r>
    </w:p>
    <w:p w14:paraId="43D2E4AC" w14:textId="77777777" w:rsidR="00E066D8" w:rsidRPr="00AE6015" w:rsidRDefault="00E066D8">
      <w:pPr>
        <w:spacing w:after="0" w:line="240" w:lineRule="auto"/>
        <w:rPr>
          <w:rFonts w:ascii="Arial" w:hAnsi="Arial" w:cs="Arial"/>
          <w:b/>
          <w:bCs/>
          <w:sz w:val="32"/>
          <w:szCs w:val="28"/>
        </w:rPr>
      </w:pPr>
      <w:r w:rsidRPr="00AE6015">
        <w:rPr>
          <w:rFonts w:ascii="Arial" w:hAnsi="Arial" w:cs="Arial"/>
        </w:rPr>
        <w:br w:type="page"/>
      </w:r>
    </w:p>
    <w:p w14:paraId="463EBE04" w14:textId="527F8E61" w:rsidR="001074FA" w:rsidRPr="00B14330" w:rsidRDefault="001074FA" w:rsidP="00276050">
      <w:pPr>
        <w:pStyle w:val="Heading1"/>
      </w:pPr>
      <w:bookmarkStart w:id="13" w:name="_Toc83902640"/>
      <w:r>
        <w:lastRenderedPageBreak/>
        <w:t xml:space="preserve">Main </w:t>
      </w:r>
      <w:r w:rsidRPr="001074FA">
        <w:t>activities</w:t>
      </w:r>
      <w:r>
        <w:t xml:space="preserve"> in </w:t>
      </w:r>
      <w:r w:rsidR="00AE6015" w:rsidRPr="001074FA">
        <w:t>Lot 3</w:t>
      </w:r>
      <w:r w:rsidRPr="001074FA">
        <w:t>b</w:t>
      </w:r>
      <w:r w:rsidR="00AE6015" w:rsidRPr="001074FA">
        <w:t xml:space="preserve"> –</w:t>
      </w:r>
      <w:r w:rsidR="00AE6015" w:rsidRPr="00AE6015">
        <w:t xml:space="preserve"> </w:t>
      </w:r>
      <w:bookmarkStart w:id="14" w:name="_Hlk79651640"/>
      <w:r w:rsidR="00AE6015" w:rsidRPr="00AE6015">
        <w:t>Real World Evidence Generation for Managed Access</w:t>
      </w:r>
      <w:bookmarkStart w:id="15" w:name="_Toc81313451"/>
      <w:bookmarkEnd w:id="14"/>
      <w:bookmarkEnd w:id="13"/>
      <w:r w:rsidRPr="001074FA">
        <w:t xml:space="preserve"> </w:t>
      </w:r>
      <w:bookmarkEnd w:id="15"/>
    </w:p>
    <w:p w14:paraId="700C7A7D" w14:textId="08339C65" w:rsidR="001074FA" w:rsidRPr="001074FA" w:rsidRDefault="001074FA" w:rsidP="001074FA">
      <w:pPr>
        <w:pStyle w:val="ITTPlainBody"/>
      </w:pPr>
      <w:r w:rsidRPr="001074FA">
        <w:t xml:space="preserve">Including: providing technical support to </w:t>
      </w:r>
      <w:r w:rsidR="00EA7C7B">
        <w:t xml:space="preserve">NICE </w:t>
      </w:r>
      <w:r w:rsidRPr="001074FA">
        <w:t>evaluation programmes; advanced methodological development for all types of health technologies, including pharmaceuticals, medical and diagnostic technologies and related products; providing educational support; providing advanced methodological, analytical and other ad hoc support to NICE and its independent advisory bodies on the assessment of medicines and medical technologies; providing quality assurance of economic models and other Supplier outputs.</w:t>
      </w:r>
    </w:p>
    <w:p w14:paraId="29C401DA" w14:textId="77777777" w:rsidR="001074FA" w:rsidRPr="001074FA" w:rsidRDefault="001074FA" w:rsidP="001074FA">
      <w:pPr>
        <w:pStyle w:val="ITTPlainBody"/>
      </w:pPr>
      <w:bookmarkStart w:id="16" w:name="_Toc494753825"/>
      <w:r w:rsidRPr="001074FA">
        <w:t>The following sections list the general approach NICE takes to the work carried out by the Suppliers, followed by details of work packages issued under each Lot and specific details of the modules of work generally included in standard work packages.</w:t>
      </w:r>
      <w:bookmarkEnd w:id="16"/>
      <w:r w:rsidRPr="001074FA">
        <w:t xml:space="preserve"> </w:t>
      </w:r>
      <w:bookmarkStart w:id="17" w:name="_Toc483313605"/>
      <w:bookmarkEnd w:id="17"/>
    </w:p>
    <w:p w14:paraId="5F87C629" w14:textId="77777777" w:rsidR="001074FA" w:rsidRPr="00B455A7" w:rsidRDefault="001074FA" w:rsidP="001074FA">
      <w:pPr>
        <w:pStyle w:val="ITTHeading3"/>
        <w:numPr>
          <w:ilvl w:val="0"/>
          <w:numId w:val="0"/>
        </w:numPr>
        <w:ind w:left="851"/>
      </w:pPr>
      <w:r w:rsidRPr="00787528">
        <w:t>Table 1</w:t>
      </w:r>
      <w:r>
        <w:t xml:space="preserve"> - </w:t>
      </w:r>
      <w:bookmarkStart w:id="18" w:name="_Hlk81917014"/>
      <w:r>
        <w:t>M</w:t>
      </w:r>
      <w:r w:rsidRPr="00787528">
        <w:t xml:space="preserve">odules </w:t>
      </w:r>
      <w:r>
        <w:t xml:space="preserve">and specification </w:t>
      </w:r>
      <w:r w:rsidRPr="00787528">
        <w:t xml:space="preserve">normally required for </w:t>
      </w:r>
      <w:r>
        <w:t>standard</w:t>
      </w:r>
      <w:r w:rsidRPr="00787528">
        <w:t xml:space="preserve"> Work Packages</w:t>
      </w:r>
      <w:bookmarkEnd w:id="18"/>
    </w:p>
    <w:tbl>
      <w:tblPr>
        <w:tblStyle w:val="TableGrid1"/>
        <w:tblW w:w="8235" w:type="dxa"/>
        <w:tblInd w:w="846" w:type="dxa"/>
        <w:tblLook w:val="04A0" w:firstRow="1" w:lastRow="0" w:firstColumn="1" w:lastColumn="0" w:noHBand="0" w:noVBand="1"/>
      </w:tblPr>
      <w:tblGrid>
        <w:gridCol w:w="2268"/>
        <w:gridCol w:w="4257"/>
        <w:gridCol w:w="1710"/>
      </w:tblGrid>
      <w:tr w:rsidR="00AE6015" w:rsidRPr="00AE6015" w14:paraId="7CF8EBA4" w14:textId="77777777" w:rsidTr="001074FA">
        <w:trPr>
          <w:trHeight w:val="1074"/>
          <w:tblHeader/>
        </w:trPr>
        <w:tc>
          <w:tcPr>
            <w:tcW w:w="2268" w:type="dxa"/>
            <w:tcBorders>
              <w:bottom w:val="single" w:sz="4" w:space="0" w:color="auto"/>
            </w:tcBorders>
          </w:tcPr>
          <w:p w14:paraId="486B52DE" w14:textId="77777777" w:rsidR="00AE6015" w:rsidRPr="00AE6015" w:rsidRDefault="00AE6015" w:rsidP="00AE6015">
            <w:pPr>
              <w:spacing w:before="60" w:after="60"/>
              <w:rPr>
                <w:rFonts w:ascii="Arial" w:hAnsi="Arial" w:cs="Arial"/>
                <w:b/>
                <w:sz w:val="24"/>
                <w:szCs w:val="24"/>
                <w:lang w:eastAsia="en-GB" w:bidi="ar-SA"/>
              </w:rPr>
            </w:pPr>
            <w:r w:rsidRPr="00AE6015">
              <w:rPr>
                <w:rFonts w:ascii="Arial" w:hAnsi="Arial" w:cs="Arial"/>
                <w:b/>
                <w:sz w:val="24"/>
                <w:szCs w:val="24"/>
                <w:lang w:eastAsia="en-GB" w:bidi="ar-SA"/>
              </w:rPr>
              <w:t>Typical work package type</w:t>
            </w:r>
          </w:p>
        </w:tc>
        <w:tc>
          <w:tcPr>
            <w:tcW w:w="4257" w:type="dxa"/>
          </w:tcPr>
          <w:p w14:paraId="5856EB7C" w14:textId="77777777" w:rsidR="00AE6015" w:rsidRPr="00AE6015" w:rsidRDefault="00AE6015" w:rsidP="00AE6015">
            <w:pPr>
              <w:spacing w:before="60" w:after="60"/>
              <w:rPr>
                <w:rFonts w:ascii="Arial" w:hAnsi="Arial" w:cs="Arial"/>
                <w:b/>
                <w:sz w:val="24"/>
                <w:szCs w:val="24"/>
                <w:lang w:eastAsia="en-GB" w:bidi="ar-SA"/>
              </w:rPr>
            </w:pPr>
            <w:r w:rsidRPr="00AE6015">
              <w:rPr>
                <w:rFonts w:ascii="Arial" w:hAnsi="Arial" w:cs="Arial"/>
                <w:b/>
                <w:sz w:val="24"/>
                <w:szCs w:val="24"/>
                <w:lang w:eastAsia="en-GB" w:bidi="ar-SA"/>
              </w:rPr>
              <w:t xml:space="preserve">Modules normally* required </w:t>
            </w:r>
          </w:p>
        </w:tc>
        <w:tc>
          <w:tcPr>
            <w:tcW w:w="1710" w:type="dxa"/>
          </w:tcPr>
          <w:p w14:paraId="1994CFE9" w14:textId="71D07DF8" w:rsidR="00AE6015" w:rsidRPr="00AE6015" w:rsidRDefault="00AE6015" w:rsidP="00AE6015">
            <w:pPr>
              <w:spacing w:before="60" w:after="60"/>
              <w:rPr>
                <w:rFonts w:ascii="Arial" w:hAnsi="Arial" w:cs="Arial"/>
                <w:b/>
                <w:sz w:val="24"/>
                <w:szCs w:val="24"/>
                <w:lang w:eastAsia="en-GB" w:bidi="ar-SA"/>
              </w:rPr>
            </w:pPr>
            <w:r w:rsidRPr="00AE6015">
              <w:rPr>
                <w:rFonts w:ascii="Arial" w:hAnsi="Arial" w:cs="Arial"/>
                <w:b/>
                <w:sz w:val="24"/>
                <w:szCs w:val="24"/>
                <w:lang w:eastAsia="en-GB" w:bidi="ar-SA"/>
              </w:rPr>
              <w:t>Specification Reference</w:t>
            </w:r>
          </w:p>
        </w:tc>
      </w:tr>
      <w:tr w:rsidR="00FC5847" w:rsidRPr="00AE6015" w14:paraId="16C449EC" w14:textId="77777777" w:rsidTr="00AA3710">
        <w:trPr>
          <w:trHeight w:val="1317"/>
        </w:trPr>
        <w:tc>
          <w:tcPr>
            <w:tcW w:w="2268" w:type="dxa"/>
            <w:vMerge w:val="restart"/>
          </w:tcPr>
          <w:p w14:paraId="2FCE2E3B" w14:textId="1E9C2CB6"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C1 – Managed Access evidence generation using existing registers or databases – routine work package</w:t>
            </w:r>
          </w:p>
        </w:tc>
        <w:tc>
          <w:tcPr>
            <w:tcW w:w="4257" w:type="dxa"/>
          </w:tcPr>
          <w:p w14:paraId="13D05358" w14:textId="7EAE7EEF"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C1</w:t>
            </w:r>
            <w:r>
              <w:rPr>
                <w:rFonts w:ascii="Arial" w:hAnsi="Arial" w:cs="Arial"/>
                <w:sz w:val="24"/>
                <w:szCs w:val="24"/>
                <w:lang w:eastAsia="en-GB" w:bidi="ar-SA"/>
              </w:rPr>
              <w:t>A</w:t>
            </w:r>
            <w:r w:rsidRPr="00AE6015">
              <w:rPr>
                <w:rFonts w:ascii="Arial" w:hAnsi="Arial" w:cs="Arial"/>
                <w:sz w:val="24"/>
                <w:szCs w:val="24"/>
                <w:lang w:eastAsia="en-GB" w:bidi="ar-SA"/>
              </w:rPr>
              <w:t xml:space="preserve"> – Rapid feasibility study (including basic literature review and cost estimates of evidence generation)</w:t>
            </w:r>
          </w:p>
        </w:tc>
        <w:tc>
          <w:tcPr>
            <w:tcW w:w="1710" w:type="dxa"/>
          </w:tcPr>
          <w:p w14:paraId="201DA513" w14:textId="77777777" w:rsidR="00FC5847" w:rsidRPr="00AE6015" w:rsidRDefault="00FC5847" w:rsidP="00FC5847">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2</w:t>
            </w:r>
          </w:p>
          <w:p w14:paraId="2C529B80" w14:textId="77777777" w:rsidR="00FC5847" w:rsidRPr="00AE6015" w:rsidRDefault="00FC5847" w:rsidP="00FC5847">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3.1-3.3</w:t>
            </w:r>
          </w:p>
          <w:p w14:paraId="78244FEB" w14:textId="77777777" w:rsidR="00FC5847" w:rsidRPr="00AE6015" w:rsidRDefault="00FC5847" w:rsidP="00FC5847">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4.1</w:t>
            </w:r>
          </w:p>
          <w:p w14:paraId="3A1A1C81" w14:textId="028605BF" w:rsidR="00FC5847" w:rsidRPr="00106C03" w:rsidRDefault="00FC5847" w:rsidP="00AE6015">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4.5</w:t>
            </w:r>
          </w:p>
        </w:tc>
      </w:tr>
      <w:tr w:rsidR="00FC5847" w:rsidRPr="00AE6015" w14:paraId="0256DED9" w14:textId="77777777" w:rsidTr="00AA3710">
        <w:trPr>
          <w:trHeight w:val="1317"/>
        </w:trPr>
        <w:tc>
          <w:tcPr>
            <w:tcW w:w="2268" w:type="dxa"/>
            <w:vMerge/>
          </w:tcPr>
          <w:p w14:paraId="20B8C904" w14:textId="79C53C03" w:rsidR="00FC5847" w:rsidRPr="00AE6015" w:rsidRDefault="00FC5847" w:rsidP="00AE6015">
            <w:pPr>
              <w:spacing w:before="60" w:after="60"/>
              <w:rPr>
                <w:rFonts w:ascii="Arial" w:hAnsi="Arial" w:cs="Arial"/>
                <w:sz w:val="24"/>
                <w:szCs w:val="24"/>
                <w:lang w:eastAsia="en-GB" w:bidi="ar-SA"/>
              </w:rPr>
            </w:pPr>
          </w:p>
        </w:tc>
        <w:tc>
          <w:tcPr>
            <w:tcW w:w="4257" w:type="dxa"/>
          </w:tcPr>
          <w:p w14:paraId="6C045F90" w14:textId="6BD6C7AB"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C1</w:t>
            </w:r>
            <w:r>
              <w:rPr>
                <w:rFonts w:ascii="Arial" w:hAnsi="Arial" w:cs="Arial"/>
                <w:sz w:val="24"/>
                <w:szCs w:val="24"/>
                <w:lang w:eastAsia="en-GB" w:bidi="ar-SA"/>
              </w:rPr>
              <w:t>B</w:t>
            </w:r>
            <w:r w:rsidRPr="00AE6015">
              <w:rPr>
                <w:rFonts w:ascii="Arial" w:hAnsi="Arial" w:cs="Arial"/>
                <w:sz w:val="24"/>
                <w:szCs w:val="24"/>
                <w:lang w:eastAsia="en-GB" w:bidi="ar-SA"/>
              </w:rPr>
              <w:t xml:space="preserve"> – Set-up including data protocol development (limited to adaptation of existing registers or databases)</w:t>
            </w:r>
          </w:p>
        </w:tc>
        <w:tc>
          <w:tcPr>
            <w:tcW w:w="1710" w:type="dxa"/>
          </w:tcPr>
          <w:p w14:paraId="7ED31198"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3.4.1-3.4.5</w:t>
            </w:r>
          </w:p>
        </w:tc>
      </w:tr>
      <w:tr w:rsidR="00FC5847" w:rsidRPr="00AE6015" w14:paraId="7AF5CD18" w14:textId="77777777" w:rsidTr="00AA3710">
        <w:trPr>
          <w:trHeight w:val="981"/>
        </w:trPr>
        <w:tc>
          <w:tcPr>
            <w:tcW w:w="2268" w:type="dxa"/>
            <w:vMerge/>
          </w:tcPr>
          <w:p w14:paraId="59AFCA3A"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47EDF108" w14:textId="41417CB4"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C1</w:t>
            </w:r>
            <w:r>
              <w:rPr>
                <w:rFonts w:ascii="Arial" w:hAnsi="Arial" w:cs="Arial"/>
                <w:sz w:val="24"/>
                <w:szCs w:val="24"/>
                <w:lang w:eastAsia="en-GB" w:bidi="ar-SA"/>
              </w:rPr>
              <w:t>C</w:t>
            </w:r>
            <w:r w:rsidR="00EA7C7B">
              <w:rPr>
                <w:rFonts w:ascii="Arial" w:hAnsi="Arial" w:cs="Arial"/>
                <w:sz w:val="24"/>
                <w:szCs w:val="24"/>
                <w:lang w:eastAsia="en-GB" w:bidi="ar-SA"/>
              </w:rPr>
              <w:t xml:space="preserve"> </w:t>
            </w:r>
            <w:r w:rsidR="00EA7C7B" w:rsidRPr="00AE6015">
              <w:rPr>
                <w:rFonts w:ascii="Arial" w:hAnsi="Arial" w:cs="Arial"/>
                <w:sz w:val="24"/>
                <w:szCs w:val="24"/>
                <w:lang w:eastAsia="en-GB" w:bidi="ar-SA"/>
              </w:rPr>
              <w:t>–</w:t>
            </w:r>
            <w:r w:rsidRPr="00AE6015">
              <w:rPr>
                <w:rFonts w:ascii="Arial" w:hAnsi="Arial" w:cs="Arial"/>
                <w:sz w:val="24"/>
                <w:szCs w:val="24"/>
                <w:lang w:eastAsia="en-GB" w:bidi="ar-SA"/>
              </w:rPr>
              <w:t xml:space="preserve"> Pilot study (limited to adaptation of existing registers or databases)</w:t>
            </w:r>
          </w:p>
        </w:tc>
        <w:tc>
          <w:tcPr>
            <w:tcW w:w="1710" w:type="dxa"/>
          </w:tcPr>
          <w:p w14:paraId="0E44A836" w14:textId="4050C91A"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3.4.3</w:t>
            </w:r>
            <w:r w:rsidR="00106C03">
              <w:rPr>
                <w:rFonts w:ascii="Arial" w:hAnsi="Arial" w:cs="Arial"/>
                <w:sz w:val="24"/>
                <w:szCs w:val="24"/>
                <w:lang w:eastAsia="en-GB" w:bidi="ar-SA"/>
              </w:rPr>
              <w:t xml:space="preserve"> </w:t>
            </w:r>
            <w:r w:rsidRPr="00AE6015">
              <w:rPr>
                <w:rFonts w:ascii="Arial" w:hAnsi="Arial" w:cs="Arial"/>
                <w:sz w:val="24"/>
                <w:szCs w:val="24"/>
                <w:lang w:eastAsia="en-GB" w:bidi="ar-SA"/>
              </w:rPr>
              <w:t>-</w:t>
            </w:r>
            <w:r w:rsidR="00106C03">
              <w:rPr>
                <w:rFonts w:ascii="Arial" w:hAnsi="Arial" w:cs="Arial"/>
                <w:sz w:val="24"/>
                <w:szCs w:val="24"/>
                <w:lang w:eastAsia="en-GB" w:bidi="ar-SA"/>
              </w:rPr>
              <w:t xml:space="preserve"> </w:t>
            </w:r>
            <w:r w:rsidRPr="00AE6015">
              <w:rPr>
                <w:rFonts w:ascii="Arial" w:hAnsi="Arial" w:cs="Arial"/>
                <w:sz w:val="24"/>
                <w:szCs w:val="24"/>
                <w:lang w:eastAsia="en-GB" w:bidi="ar-SA"/>
              </w:rPr>
              <w:t>3.4.5</w:t>
            </w:r>
          </w:p>
        </w:tc>
      </w:tr>
      <w:tr w:rsidR="00FC5847" w:rsidRPr="00AE6015" w14:paraId="4B95C7F8" w14:textId="77777777" w:rsidTr="001074FA">
        <w:trPr>
          <w:trHeight w:val="1268"/>
        </w:trPr>
        <w:tc>
          <w:tcPr>
            <w:tcW w:w="2268" w:type="dxa"/>
            <w:vMerge/>
          </w:tcPr>
          <w:p w14:paraId="42CA1BBD"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5E96EB9D" w14:textId="00AEBECA"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C1</w:t>
            </w:r>
            <w:r>
              <w:rPr>
                <w:rFonts w:ascii="Arial" w:hAnsi="Arial" w:cs="Arial"/>
                <w:sz w:val="24"/>
                <w:szCs w:val="24"/>
                <w:lang w:eastAsia="en-GB" w:bidi="ar-SA"/>
              </w:rPr>
              <w:t>D</w:t>
            </w:r>
            <w:r w:rsidRPr="00AE6015">
              <w:rPr>
                <w:rFonts w:ascii="Arial" w:hAnsi="Arial" w:cs="Arial"/>
                <w:sz w:val="24"/>
                <w:szCs w:val="24"/>
                <w:lang w:eastAsia="en-GB" w:bidi="ar-SA"/>
              </w:rPr>
              <w:t xml:space="preserve"> – Data collection and active surveillance (per year)</w:t>
            </w:r>
          </w:p>
        </w:tc>
        <w:tc>
          <w:tcPr>
            <w:tcW w:w="1710" w:type="dxa"/>
          </w:tcPr>
          <w:p w14:paraId="5ED9CA96"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3.5</w:t>
            </w:r>
          </w:p>
          <w:p w14:paraId="643DD38D"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4.2</w:t>
            </w:r>
          </w:p>
          <w:p w14:paraId="32E9BA1D"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4.4</w:t>
            </w:r>
          </w:p>
        </w:tc>
      </w:tr>
      <w:tr w:rsidR="00FC5847" w:rsidRPr="00AE6015" w14:paraId="56C53D09" w14:textId="77777777" w:rsidTr="001074FA">
        <w:trPr>
          <w:trHeight w:val="1413"/>
        </w:trPr>
        <w:tc>
          <w:tcPr>
            <w:tcW w:w="2268" w:type="dxa"/>
            <w:vMerge/>
          </w:tcPr>
          <w:p w14:paraId="4C256257"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513A7700" w14:textId="24E59432"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C1</w:t>
            </w:r>
            <w:r>
              <w:rPr>
                <w:rFonts w:ascii="Arial" w:hAnsi="Arial" w:cs="Arial"/>
                <w:sz w:val="24"/>
                <w:szCs w:val="24"/>
                <w:lang w:eastAsia="en-GB" w:bidi="ar-SA"/>
              </w:rPr>
              <w:t>E</w:t>
            </w:r>
            <w:r w:rsidRPr="00AE6015">
              <w:rPr>
                <w:rFonts w:ascii="Arial" w:hAnsi="Arial" w:cs="Arial"/>
                <w:sz w:val="24"/>
                <w:szCs w:val="24"/>
                <w:lang w:eastAsia="en-GB" w:bidi="ar-SA"/>
              </w:rPr>
              <w:t xml:space="preserve"> – Routine active data surveillance (may include review of data protocol/ statistical analysis plan/ regular data reports) (per year)</w:t>
            </w:r>
          </w:p>
        </w:tc>
        <w:tc>
          <w:tcPr>
            <w:tcW w:w="1710" w:type="dxa"/>
          </w:tcPr>
          <w:p w14:paraId="4AF41B35"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2</w:t>
            </w:r>
          </w:p>
          <w:p w14:paraId="11C4A2CA"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3.5</w:t>
            </w:r>
          </w:p>
          <w:p w14:paraId="3FA5CD64"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4.4</w:t>
            </w:r>
          </w:p>
        </w:tc>
      </w:tr>
      <w:tr w:rsidR="00FC5847" w:rsidRPr="00AE6015" w14:paraId="6D1D372C" w14:textId="77777777" w:rsidTr="001074FA">
        <w:trPr>
          <w:trHeight w:val="1407"/>
        </w:trPr>
        <w:tc>
          <w:tcPr>
            <w:tcW w:w="2268" w:type="dxa"/>
            <w:vMerge w:val="restart"/>
            <w:tcBorders>
              <w:top w:val="nil"/>
            </w:tcBorders>
          </w:tcPr>
          <w:p w14:paraId="06C95E6E" w14:textId="6D9F81EA"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lastRenderedPageBreak/>
              <w:t>C2 – Managed Access evidence generation using de novo registers or databases – advanced work package</w:t>
            </w:r>
          </w:p>
        </w:tc>
        <w:tc>
          <w:tcPr>
            <w:tcW w:w="4257" w:type="dxa"/>
          </w:tcPr>
          <w:p w14:paraId="76384579" w14:textId="07D3ADEA"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C2</w:t>
            </w:r>
            <w:r>
              <w:rPr>
                <w:rFonts w:ascii="Arial" w:hAnsi="Arial" w:cs="Arial"/>
                <w:sz w:val="24"/>
                <w:szCs w:val="24"/>
                <w:lang w:eastAsia="en-GB" w:bidi="ar-SA"/>
              </w:rPr>
              <w:t>A</w:t>
            </w:r>
            <w:r w:rsidRPr="00AE6015">
              <w:rPr>
                <w:rFonts w:ascii="Arial" w:hAnsi="Arial" w:cs="Arial"/>
                <w:sz w:val="24"/>
                <w:szCs w:val="24"/>
                <w:lang w:eastAsia="en-GB" w:bidi="ar-SA"/>
              </w:rPr>
              <w:t xml:space="preserve"> – Advanced feasibility study (including systematic review &amp; meta-analysis)</w:t>
            </w:r>
          </w:p>
        </w:tc>
        <w:tc>
          <w:tcPr>
            <w:tcW w:w="1710" w:type="dxa"/>
          </w:tcPr>
          <w:p w14:paraId="13B74A9A" w14:textId="77777777" w:rsidR="00FC5847" w:rsidRPr="00AE6015" w:rsidRDefault="00FC5847" w:rsidP="00FC5847">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2</w:t>
            </w:r>
          </w:p>
          <w:p w14:paraId="79B5B09C" w14:textId="77777777" w:rsidR="00FC5847" w:rsidRPr="00AE6015" w:rsidRDefault="00FC5847" w:rsidP="00FC5847">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3.1-3.3</w:t>
            </w:r>
          </w:p>
          <w:p w14:paraId="4A45597E" w14:textId="77777777" w:rsidR="00FC5847" w:rsidRPr="00AE6015" w:rsidRDefault="00FC5847" w:rsidP="00FC5847">
            <w:pPr>
              <w:spacing w:before="60" w:after="60"/>
              <w:rPr>
                <w:rFonts w:ascii="Arial" w:hAnsi="Arial" w:cs="Arial"/>
                <w:bCs/>
                <w:sz w:val="24"/>
                <w:szCs w:val="24"/>
                <w:lang w:eastAsia="en-GB" w:bidi="ar-SA"/>
              </w:rPr>
            </w:pPr>
            <w:r w:rsidRPr="00AE6015">
              <w:rPr>
                <w:rFonts w:ascii="Arial" w:hAnsi="Arial" w:cs="Arial"/>
                <w:bCs/>
                <w:sz w:val="24"/>
                <w:szCs w:val="24"/>
                <w:lang w:eastAsia="en-GB" w:bidi="ar-SA"/>
              </w:rPr>
              <w:t>4.1</w:t>
            </w:r>
          </w:p>
          <w:p w14:paraId="67CE36E7" w14:textId="61870453" w:rsidR="00FC5847" w:rsidRPr="00AE6015" w:rsidRDefault="00FC5847" w:rsidP="00FC5847">
            <w:pPr>
              <w:spacing w:before="60" w:after="60"/>
              <w:rPr>
                <w:rFonts w:ascii="Arial" w:hAnsi="Arial" w:cs="Arial"/>
                <w:sz w:val="24"/>
                <w:szCs w:val="24"/>
                <w:lang w:eastAsia="en-GB" w:bidi="ar-SA"/>
              </w:rPr>
            </w:pPr>
            <w:r w:rsidRPr="00AE6015">
              <w:rPr>
                <w:rFonts w:ascii="Arial" w:hAnsi="Arial" w:cs="Arial"/>
                <w:bCs/>
                <w:sz w:val="24"/>
                <w:szCs w:val="24"/>
                <w:lang w:eastAsia="en-GB" w:bidi="ar-SA"/>
              </w:rPr>
              <w:t>4.5</w:t>
            </w:r>
          </w:p>
        </w:tc>
      </w:tr>
      <w:tr w:rsidR="00FC5847" w:rsidRPr="00AE6015" w14:paraId="6F6C3D33" w14:textId="77777777" w:rsidTr="00973E4A">
        <w:trPr>
          <w:trHeight w:val="1407"/>
        </w:trPr>
        <w:tc>
          <w:tcPr>
            <w:tcW w:w="2268" w:type="dxa"/>
            <w:vMerge/>
          </w:tcPr>
          <w:p w14:paraId="01240E12" w14:textId="494B6CF3" w:rsidR="00FC5847" w:rsidRPr="00AE6015" w:rsidRDefault="00FC5847" w:rsidP="00AE6015">
            <w:pPr>
              <w:spacing w:before="60" w:after="60"/>
              <w:rPr>
                <w:rFonts w:ascii="Arial" w:hAnsi="Arial" w:cs="Arial"/>
                <w:sz w:val="24"/>
                <w:szCs w:val="24"/>
                <w:lang w:eastAsia="en-GB" w:bidi="ar-SA"/>
              </w:rPr>
            </w:pPr>
          </w:p>
        </w:tc>
        <w:tc>
          <w:tcPr>
            <w:tcW w:w="4257" w:type="dxa"/>
          </w:tcPr>
          <w:p w14:paraId="5F3C798A" w14:textId="0FDCA279"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C2</w:t>
            </w:r>
            <w:r>
              <w:rPr>
                <w:rFonts w:ascii="Arial" w:hAnsi="Arial" w:cs="Arial"/>
                <w:sz w:val="24"/>
                <w:szCs w:val="24"/>
                <w:lang w:eastAsia="en-GB" w:bidi="ar-SA"/>
              </w:rPr>
              <w:t>B</w:t>
            </w:r>
            <w:r w:rsidRPr="00AE6015">
              <w:rPr>
                <w:rFonts w:ascii="Arial" w:hAnsi="Arial" w:cs="Arial"/>
                <w:sz w:val="24"/>
                <w:szCs w:val="24"/>
                <w:lang w:eastAsia="en-GB" w:bidi="ar-SA"/>
              </w:rPr>
              <w:t xml:space="preserve"> – Advanced </w:t>
            </w:r>
            <w:proofErr w:type="gramStart"/>
            <w:r w:rsidRPr="00AE6015">
              <w:rPr>
                <w:rFonts w:ascii="Arial" w:hAnsi="Arial" w:cs="Arial"/>
                <w:sz w:val="24"/>
                <w:szCs w:val="24"/>
                <w:lang w:eastAsia="en-GB" w:bidi="ar-SA"/>
              </w:rPr>
              <w:t>set-up;</w:t>
            </w:r>
            <w:proofErr w:type="gramEnd"/>
            <w:r w:rsidRPr="00AE6015">
              <w:rPr>
                <w:rFonts w:ascii="Arial" w:hAnsi="Arial" w:cs="Arial"/>
                <w:sz w:val="24"/>
                <w:szCs w:val="24"/>
                <w:lang w:eastAsia="en-GB" w:bidi="ar-SA"/>
              </w:rPr>
              <w:t xml:space="preserve"> e.g. development of entirely new data collections/ registers/ databases, possibly involving comparators</w:t>
            </w:r>
          </w:p>
        </w:tc>
        <w:tc>
          <w:tcPr>
            <w:tcW w:w="1710" w:type="dxa"/>
          </w:tcPr>
          <w:p w14:paraId="2E0F9B65"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3.4.1-3.4.2</w:t>
            </w:r>
          </w:p>
          <w:p w14:paraId="27C94517"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3.4.6-3.4.8</w:t>
            </w:r>
          </w:p>
        </w:tc>
      </w:tr>
      <w:tr w:rsidR="00FC5847" w:rsidRPr="00AE6015" w14:paraId="008AB1DA" w14:textId="77777777" w:rsidTr="00AA3710">
        <w:trPr>
          <w:trHeight w:val="838"/>
        </w:trPr>
        <w:tc>
          <w:tcPr>
            <w:tcW w:w="2268" w:type="dxa"/>
            <w:vMerge/>
          </w:tcPr>
          <w:p w14:paraId="2674B00F"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659303E4" w14:textId="53C5DF59"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C2</w:t>
            </w:r>
            <w:r>
              <w:rPr>
                <w:rFonts w:ascii="Arial" w:hAnsi="Arial" w:cs="Arial"/>
                <w:sz w:val="24"/>
                <w:szCs w:val="24"/>
                <w:lang w:eastAsia="en-GB" w:bidi="ar-SA"/>
              </w:rPr>
              <w:t>C</w:t>
            </w:r>
            <w:r w:rsidR="00EA7C7B">
              <w:rPr>
                <w:rFonts w:ascii="Arial" w:hAnsi="Arial" w:cs="Arial"/>
                <w:sz w:val="24"/>
                <w:szCs w:val="24"/>
                <w:lang w:eastAsia="en-GB" w:bidi="ar-SA"/>
              </w:rPr>
              <w:t xml:space="preserve"> </w:t>
            </w:r>
            <w:r w:rsidR="00EA7C7B" w:rsidRPr="00AE6015">
              <w:rPr>
                <w:rFonts w:ascii="Arial" w:hAnsi="Arial" w:cs="Arial"/>
                <w:sz w:val="24"/>
                <w:szCs w:val="24"/>
                <w:lang w:eastAsia="en-GB" w:bidi="ar-SA"/>
              </w:rPr>
              <w:t>–</w:t>
            </w:r>
            <w:r w:rsidRPr="00AE6015">
              <w:rPr>
                <w:rFonts w:ascii="Arial" w:hAnsi="Arial" w:cs="Arial"/>
                <w:sz w:val="24"/>
                <w:szCs w:val="24"/>
                <w:lang w:eastAsia="en-GB" w:bidi="ar-SA"/>
              </w:rPr>
              <w:t xml:space="preserve"> Pilot study (de novo registers or databases)</w:t>
            </w:r>
          </w:p>
        </w:tc>
        <w:tc>
          <w:tcPr>
            <w:tcW w:w="1710" w:type="dxa"/>
          </w:tcPr>
          <w:p w14:paraId="540936DD"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3.4.3-3.4.5</w:t>
            </w:r>
          </w:p>
        </w:tc>
      </w:tr>
      <w:tr w:rsidR="00FC5847" w:rsidRPr="00AE6015" w14:paraId="2E8F598B" w14:textId="77777777" w:rsidTr="00106C03">
        <w:trPr>
          <w:trHeight w:val="1110"/>
        </w:trPr>
        <w:tc>
          <w:tcPr>
            <w:tcW w:w="2268" w:type="dxa"/>
            <w:vMerge/>
          </w:tcPr>
          <w:p w14:paraId="63D5AB72"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171F178C" w14:textId="725E115B"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C2</w:t>
            </w:r>
            <w:r>
              <w:rPr>
                <w:rFonts w:ascii="Arial" w:hAnsi="Arial" w:cs="Arial"/>
                <w:sz w:val="24"/>
                <w:szCs w:val="24"/>
                <w:lang w:eastAsia="en-GB" w:bidi="ar-SA"/>
              </w:rPr>
              <w:t>D</w:t>
            </w:r>
            <w:r w:rsidRPr="00AE6015">
              <w:rPr>
                <w:rFonts w:ascii="Arial" w:hAnsi="Arial" w:cs="Arial"/>
                <w:sz w:val="24"/>
                <w:szCs w:val="24"/>
                <w:lang w:eastAsia="en-GB" w:bidi="ar-SA"/>
              </w:rPr>
              <w:t xml:space="preserve"> – Data collection and active surveillance (de novo registers or databases) (per year)</w:t>
            </w:r>
          </w:p>
        </w:tc>
        <w:tc>
          <w:tcPr>
            <w:tcW w:w="1710" w:type="dxa"/>
          </w:tcPr>
          <w:p w14:paraId="1ED720B7"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3.5</w:t>
            </w:r>
          </w:p>
          <w:p w14:paraId="3E0ED191"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4.2</w:t>
            </w:r>
          </w:p>
          <w:p w14:paraId="598A6D48"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4.4</w:t>
            </w:r>
          </w:p>
        </w:tc>
      </w:tr>
      <w:tr w:rsidR="00FC5847" w:rsidRPr="00AE6015" w14:paraId="2BBC27FF" w14:textId="77777777" w:rsidTr="001074FA">
        <w:trPr>
          <w:trHeight w:val="1407"/>
        </w:trPr>
        <w:tc>
          <w:tcPr>
            <w:tcW w:w="2268" w:type="dxa"/>
            <w:vMerge/>
          </w:tcPr>
          <w:p w14:paraId="4C6B0309"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40604C6E" w14:textId="53C91E65"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C2</w:t>
            </w:r>
            <w:r>
              <w:rPr>
                <w:rFonts w:ascii="Arial" w:hAnsi="Arial" w:cs="Arial"/>
                <w:sz w:val="24"/>
                <w:szCs w:val="24"/>
                <w:lang w:eastAsia="en-GB" w:bidi="ar-SA"/>
              </w:rPr>
              <w:t>E</w:t>
            </w:r>
            <w:r w:rsidRPr="00AE6015">
              <w:rPr>
                <w:rFonts w:ascii="Arial" w:hAnsi="Arial" w:cs="Arial"/>
                <w:sz w:val="24"/>
                <w:szCs w:val="24"/>
                <w:lang w:eastAsia="en-GB" w:bidi="ar-SA"/>
              </w:rPr>
              <w:t xml:space="preserve"> – Advanced active data surveillance (may involve data linkage and complex modelling and/or analyses) (per year)</w:t>
            </w:r>
          </w:p>
        </w:tc>
        <w:tc>
          <w:tcPr>
            <w:tcW w:w="1710" w:type="dxa"/>
          </w:tcPr>
          <w:p w14:paraId="496101D6"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3.5</w:t>
            </w:r>
          </w:p>
          <w:p w14:paraId="29903B78"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3.6</w:t>
            </w:r>
          </w:p>
          <w:p w14:paraId="1D46446F"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4.4</w:t>
            </w:r>
          </w:p>
        </w:tc>
      </w:tr>
      <w:tr w:rsidR="00FC5847" w:rsidRPr="00AE6015" w14:paraId="441CD3C4" w14:textId="77777777" w:rsidTr="00106C03">
        <w:trPr>
          <w:trHeight w:val="338"/>
        </w:trPr>
        <w:tc>
          <w:tcPr>
            <w:tcW w:w="2268" w:type="dxa"/>
            <w:vMerge/>
          </w:tcPr>
          <w:p w14:paraId="6C573B06" w14:textId="77777777" w:rsidR="00FC5847" w:rsidRPr="00AE6015" w:rsidRDefault="00FC5847" w:rsidP="00AE6015">
            <w:pPr>
              <w:spacing w:before="60" w:after="60"/>
              <w:rPr>
                <w:rFonts w:ascii="Arial" w:hAnsi="Arial" w:cs="Arial"/>
                <w:sz w:val="24"/>
                <w:szCs w:val="24"/>
                <w:lang w:eastAsia="en-GB" w:bidi="ar-SA"/>
              </w:rPr>
            </w:pPr>
          </w:p>
        </w:tc>
        <w:tc>
          <w:tcPr>
            <w:tcW w:w="4257" w:type="dxa"/>
          </w:tcPr>
          <w:p w14:paraId="698049C4" w14:textId="449F4C1A"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C2</w:t>
            </w:r>
            <w:r>
              <w:rPr>
                <w:rFonts w:ascii="Arial" w:hAnsi="Arial" w:cs="Arial"/>
                <w:sz w:val="24"/>
                <w:szCs w:val="24"/>
                <w:lang w:eastAsia="en-GB" w:bidi="ar-SA"/>
              </w:rPr>
              <w:t>F</w:t>
            </w:r>
            <w:r w:rsidRPr="00AE6015">
              <w:rPr>
                <w:rFonts w:ascii="Arial" w:hAnsi="Arial" w:cs="Arial"/>
                <w:sz w:val="24"/>
                <w:szCs w:val="24"/>
                <w:lang w:eastAsia="en-GB" w:bidi="ar-SA"/>
              </w:rPr>
              <w:t xml:space="preserve"> – Register Closedown</w:t>
            </w:r>
          </w:p>
        </w:tc>
        <w:tc>
          <w:tcPr>
            <w:tcW w:w="1710" w:type="dxa"/>
          </w:tcPr>
          <w:p w14:paraId="799AD651" w14:textId="77777777" w:rsidR="00FC5847" w:rsidRPr="00AE6015" w:rsidRDefault="00FC5847"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3.4.2</w:t>
            </w:r>
          </w:p>
        </w:tc>
      </w:tr>
      <w:tr w:rsidR="00AE6015" w:rsidRPr="00AE6015" w14:paraId="33F0AFD8" w14:textId="77777777" w:rsidTr="001074FA">
        <w:trPr>
          <w:trHeight w:val="1074"/>
        </w:trPr>
        <w:tc>
          <w:tcPr>
            <w:tcW w:w="2268" w:type="dxa"/>
            <w:vMerge w:val="restart"/>
          </w:tcPr>
          <w:p w14:paraId="5BB0F419" w14:textId="77777777" w:rsidR="00AE6015" w:rsidRPr="00AE6015" w:rsidRDefault="00AE6015"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C3 – Grant applications</w:t>
            </w:r>
          </w:p>
          <w:p w14:paraId="2E91385A" w14:textId="77777777" w:rsidR="00AE6015" w:rsidRPr="00AE6015" w:rsidRDefault="00AE6015" w:rsidP="00AE6015">
            <w:pPr>
              <w:spacing w:before="60" w:after="60"/>
              <w:rPr>
                <w:rFonts w:ascii="Arial" w:hAnsi="Arial" w:cs="Arial"/>
                <w:sz w:val="24"/>
                <w:szCs w:val="24"/>
                <w:lang w:eastAsia="en-GB" w:bidi="ar-SA"/>
              </w:rPr>
            </w:pPr>
          </w:p>
        </w:tc>
        <w:tc>
          <w:tcPr>
            <w:tcW w:w="4257" w:type="dxa"/>
          </w:tcPr>
          <w:p w14:paraId="142BA34C" w14:textId="77777777" w:rsidR="00AE6015" w:rsidRPr="00AE6015" w:rsidRDefault="00AE6015"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C3A – Applications or revisions of applications to funding body/company or other source</w:t>
            </w:r>
          </w:p>
        </w:tc>
        <w:tc>
          <w:tcPr>
            <w:tcW w:w="1710" w:type="dxa"/>
          </w:tcPr>
          <w:p w14:paraId="692462D7" w14:textId="77777777" w:rsidR="00AE6015" w:rsidRPr="00AE6015" w:rsidRDefault="00AE6015"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4.3</w:t>
            </w:r>
          </w:p>
        </w:tc>
      </w:tr>
      <w:tr w:rsidR="00AE6015" w:rsidRPr="00AE6015" w14:paraId="5CEACC74" w14:textId="77777777" w:rsidTr="001074FA">
        <w:trPr>
          <w:trHeight w:val="771"/>
        </w:trPr>
        <w:tc>
          <w:tcPr>
            <w:tcW w:w="2268" w:type="dxa"/>
            <w:vMerge/>
          </w:tcPr>
          <w:p w14:paraId="3396ADDD" w14:textId="77777777" w:rsidR="00AE6015" w:rsidRPr="00AE6015" w:rsidRDefault="00AE6015" w:rsidP="00AE6015">
            <w:pPr>
              <w:spacing w:before="60" w:after="60"/>
              <w:rPr>
                <w:rFonts w:ascii="Arial" w:hAnsi="Arial" w:cs="Arial"/>
                <w:sz w:val="24"/>
                <w:szCs w:val="24"/>
                <w:lang w:eastAsia="en-GB" w:bidi="ar-SA"/>
              </w:rPr>
            </w:pPr>
          </w:p>
        </w:tc>
        <w:tc>
          <w:tcPr>
            <w:tcW w:w="4257" w:type="dxa"/>
          </w:tcPr>
          <w:p w14:paraId="3698BA32" w14:textId="77777777" w:rsidR="00AE6015" w:rsidRPr="00AE6015" w:rsidRDefault="00AE6015"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C3B – Comments on literature reviews undertaken by external bodies</w:t>
            </w:r>
            <w:r w:rsidRPr="00AE6015" w:rsidDel="00C345F8">
              <w:rPr>
                <w:rFonts w:ascii="Arial" w:hAnsi="Arial" w:cs="Arial"/>
                <w:sz w:val="24"/>
                <w:szCs w:val="24"/>
                <w:lang w:eastAsia="en-GB" w:bidi="ar-SA"/>
              </w:rPr>
              <w:t xml:space="preserve"> </w:t>
            </w:r>
          </w:p>
        </w:tc>
        <w:tc>
          <w:tcPr>
            <w:tcW w:w="1710" w:type="dxa"/>
          </w:tcPr>
          <w:p w14:paraId="1C2BF1E0" w14:textId="77777777" w:rsidR="00AE6015" w:rsidRPr="00AE6015" w:rsidRDefault="00AE6015" w:rsidP="00AE6015">
            <w:pPr>
              <w:spacing w:before="60" w:after="60"/>
              <w:rPr>
                <w:rFonts w:ascii="Arial" w:hAnsi="Arial" w:cs="Arial"/>
                <w:sz w:val="24"/>
                <w:szCs w:val="24"/>
                <w:lang w:eastAsia="en-GB" w:bidi="ar-SA"/>
              </w:rPr>
            </w:pPr>
            <w:r w:rsidRPr="00AE6015">
              <w:rPr>
                <w:rFonts w:ascii="Arial" w:hAnsi="Arial" w:cs="Arial"/>
                <w:sz w:val="24"/>
                <w:szCs w:val="24"/>
                <w:lang w:eastAsia="en-GB" w:bidi="ar-SA"/>
              </w:rPr>
              <w:t>4.5.4</w:t>
            </w:r>
          </w:p>
        </w:tc>
      </w:tr>
    </w:tbl>
    <w:p w14:paraId="08195A5A" w14:textId="7D13F218" w:rsidR="001074FA" w:rsidRDefault="001074FA" w:rsidP="00276050">
      <w:pPr>
        <w:pStyle w:val="Heading1"/>
      </w:pPr>
      <w:bookmarkStart w:id="19" w:name="_Toc269224557"/>
      <w:bookmarkStart w:id="20" w:name="_Toc269230890"/>
      <w:bookmarkStart w:id="21" w:name="_Toc483313638"/>
      <w:bookmarkStart w:id="22" w:name="_Toc484419291"/>
      <w:bookmarkStart w:id="23" w:name="_Toc484422236"/>
      <w:bookmarkStart w:id="24" w:name="_Toc273976340"/>
      <w:bookmarkStart w:id="25" w:name="_Toc273976478"/>
      <w:bookmarkStart w:id="26" w:name="_Toc274142556"/>
      <w:bookmarkStart w:id="27" w:name="_Toc274498374"/>
      <w:bookmarkStart w:id="28" w:name="_Toc269224561"/>
      <w:bookmarkStart w:id="29" w:name="_Toc269230894"/>
      <w:bookmarkStart w:id="30" w:name="_Toc83902641"/>
      <w:bookmarkStart w:id="31" w:name="_Toc80967838"/>
      <w:bookmarkStart w:id="32" w:name="_Ref270672687"/>
      <w:bookmarkStart w:id="33" w:name="_Toc358285078"/>
      <w:bookmarkStart w:id="34" w:name="_Toc495071603"/>
      <w:bookmarkEnd w:id="19"/>
      <w:bookmarkEnd w:id="20"/>
      <w:bookmarkEnd w:id="21"/>
      <w:bookmarkEnd w:id="22"/>
      <w:bookmarkEnd w:id="23"/>
      <w:bookmarkEnd w:id="24"/>
      <w:bookmarkEnd w:id="25"/>
      <w:bookmarkEnd w:id="26"/>
      <w:bookmarkEnd w:id="27"/>
      <w:bookmarkEnd w:id="28"/>
      <w:bookmarkEnd w:id="29"/>
      <w:r w:rsidRPr="001074FA">
        <w:t>Lot 3b –</w:t>
      </w:r>
      <w:r w:rsidRPr="00AE6015">
        <w:t xml:space="preserve"> Real World Evidence Generation for Managed Access</w:t>
      </w:r>
      <w:bookmarkEnd w:id="30"/>
    </w:p>
    <w:p w14:paraId="0F66EB4A" w14:textId="2C6773F2" w:rsidR="001074FA" w:rsidRDefault="001074FA" w:rsidP="001074FA">
      <w:pPr>
        <w:pStyle w:val="ITTPlainBody"/>
      </w:pPr>
      <w:r w:rsidRPr="001074FA">
        <w:t>The narrative below describes the activities and other information comprising Lot 3</w:t>
      </w:r>
      <w:r w:rsidR="002574FF">
        <w:t>b</w:t>
      </w:r>
      <w:r w:rsidRPr="001074FA">
        <w:t>. Please see Table 1 for a list of modules usually required to fulfil a Lot 3</w:t>
      </w:r>
      <w:r w:rsidR="002574FF">
        <w:t>b</w:t>
      </w:r>
      <w:r w:rsidRPr="001074FA">
        <w:t xml:space="preserve"> work package. Evidence Searching applies to all modules (where required as part of the work package). Costs for this activity should be included within the modules in Table 1 above.</w:t>
      </w:r>
    </w:p>
    <w:p w14:paraId="76F97AE8" w14:textId="4FABDDC0" w:rsidR="00AE6015" w:rsidRPr="00AE6015" w:rsidRDefault="00AE6015" w:rsidP="00276050">
      <w:pPr>
        <w:pStyle w:val="Heading2"/>
      </w:pPr>
      <w:bookmarkStart w:id="35" w:name="_Toc83902642"/>
      <w:r w:rsidRPr="00AE6015">
        <w:t xml:space="preserve">Evidence generation, </w:t>
      </w:r>
      <w:proofErr w:type="gramStart"/>
      <w:r w:rsidRPr="00AE6015">
        <w:t>analysis</w:t>
      </w:r>
      <w:proofErr w:type="gramEnd"/>
      <w:r w:rsidRPr="00AE6015">
        <w:t xml:space="preserve"> and oversight</w:t>
      </w:r>
      <w:bookmarkEnd w:id="31"/>
      <w:bookmarkEnd w:id="35"/>
    </w:p>
    <w:p w14:paraId="5BED1642" w14:textId="509D5B67" w:rsidR="00AE6015" w:rsidRPr="00276050" w:rsidRDefault="00AE6015" w:rsidP="00276050">
      <w:pPr>
        <w:pStyle w:val="Heading3"/>
        <w:spacing w:line="240" w:lineRule="auto"/>
        <w:rPr>
          <w:b w:val="0"/>
          <w:bCs w:val="0"/>
          <w:sz w:val="24"/>
          <w:szCs w:val="24"/>
        </w:rPr>
      </w:pPr>
      <w:bookmarkStart w:id="36" w:name="_Toc80967839"/>
      <w:r w:rsidRPr="00276050">
        <w:rPr>
          <w:b w:val="0"/>
          <w:bCs w:val="0"/>
          <w:sz w:val="24"/>
          <w:szCs w:val="24"/>
        </w:rPr>
        <w:lastRenderedPageBreak/>
        <w:t>NICE may make a recommendation for managed access (</w:t>
      </w:r>
      <w:proofErr w:type="gramStart"/>
      <w:r w:rsidRPr="00276050">
        <w:rPr>
          <w:b w:val="0"/>
          <w:bCs w:val="0"/>
          <w:sz w:val="24"/>
          <w:szCs w:val="24"/>
        </w:rPr>
        <w:t>i.e.</w:t>
      </w:r>
      <w:proofErr w:type="gramEnd"/>
      <w:r w:rsidRPr="00276050">
        <w:rPr>
          <w:b w:val="0"/>
          <w:bCs w:val="0"/>
          <w:sz w:val="24"/>
          <w:szCs w:val="24"/>
        </w:rPr>
        <w:t xml:space="preserve"> post-evaluation evidence generation) where a technology demonstrates plausible potential to be cost effective </w:t>
      </w:r>
      <w:r w:rsidR="00C37B12">
        <w:rPr>
          <w:b w:val="0"/>
          <w:bCs w:val="0"/>
          <w:sz w:val="24"/>
          <w:szCs w:val="24"/>
        </w:rPr>
        <w:t xml:space="preserve">or cast saving </w:t>
      </w:r>
      <w:r w:rsidRPr="00276050">
        <w:rPr>
          <w:b w:val="0"/>
          <w:bCs w:val="0"/>
          <w:sz w:val="24"/>
          <w:szCs w:val="24"/>
        </w:rPr>
        <w:t>but significant clinical uncertainties remain which prevent a recommendation for routine commissioning.</w:t>
      </w:r>
      <w:bookmarkEnd w:id="36"/>
      <w:r w:rsidRPr="00276050">
        <w:rPr>
          <w:b w:val="0"/>
          <w:bCs w:val="0"/>
          <w:sz w:val="24"/>
          <w:szCs w:val="24"/>
        </w:rPr>
        <w:t xml:space="preserve"> </w:t>
      </w:r>
    </w:p>
    <w:p w14:paraId="317BC51C" w14:textId="6FAAC6C3" w:rsidR="00AE6015" w:rsidRPr="00276050" w:rsidRDefault="00AE6015" w:rsidP="00276050">
      <w:pPr>
        <w:pStyle w:val="Heading3"/>
        <w:spacing w:line="240" w:lineRule="auto"/>
        <w:rPr>
          <w:b w:val="0"/>
          <w:bCs w:val="0"/>
          <w:sz w:val="24"/>
          <w:szCs w:val="24"/>
        </w:rPr>
      </w:pPr>
      <w:bookmarkStart w:id="37" w:name="_Toc80967840"/>
      <w:r w:rsidRPr="00276050">
        <w:rPr>
          <w:b w:val="0"/>
          <w:bCs w:val="0"/>
          <w:sz w:val="24"/>
          <w:szCs w:val="24"/>
        </w:rPr>
        <w:t>NICE will specify in its project brief the clinical uncertainties that need to be addressed to enable future decision-making on the technology. NICE may also make recommendations about the data that should be collected to address the uncertainties and any study design where appropriate. Uncertainties may relate to whether clinical outcomes will be achieved, service impact, or organisational factors that may affect whether the potential of the product is realisable in a routine clinical setting.</w:t>
      </w:r>
      <w:bookmarkEnd w:id="37"/>
    </w:p>
    <w:p w14:paraId="7445828F" w14:textId="77777777" w:rsidR="00AE6015" w:rsidRPr="00AE6015" w:rsidRDefault="00AE6015" w:rsidP="00276050">
      <w:pPr>
        <w:pStyle w:val="Heading2"/>
        <w:rPr>
          <w:lang w:bidi="ar-SA"/>
        </w:rPr>
      </w:pPr>
      <w:bookmarkStart w:id="38" w:name="_Toc358285076"/>
      <w:bookmarkStart w:id="39" w:name="_Toc495071602"/>
      <w:bookmarkStart w:id="40" w:name="_Toc80967841"/>
      <w:bookmarkStart w:id="41" w:name="_Toc83902643"/>
      <w:r w:rsidRPr="00AE6015">
        <w:rPr>
          <w:lang w:bidi="ar-SA"/>
        </w:rPr>
        <w:t>Role of the Supplier and specification</w:t>
      </w:r>
      <w:bookmarkEnd w:id="38"/>
      <w:bookmarkEnd w:id="39"/>
      <w:bookmarkEnd w:id="40"/>
      <w:bookmarkEnd w:id="41"/>
    </w:p>
    <w:p w14:paraId="29AE9B6A" w14:textId="77777777" w:rsidR="00AE6015" w:rsidRPr="00276050" w:rsidRDefault="00AE6015" w:rsidP="00276050">
      <w:pPr>
        <w:pStyle w:val="Heading3"/>
        <w:spacing w:line="240" w:lineRule="auto"/>
        <w:rPr>
          <w:b w:val="0"/>
          <w:bCs w:val="0"/>
          <w:sz w:val="24"/>
          <w:szCs w:val="24"/>
        </w:rPr>
      </w:pPr>
      <w:bookmarkStart w:id="42" w:name="_Toc80967842"/>
      <w:r w:rsidRPr="00276050">
        <w:rPr>
          <w:b w:val="0"/>
          <w:bCs w:val="0"/>
          <w:sz w:val="24"/>
          <w:szCs w:val="24"/>
        </w:rPr>
        <w:t>Within the scope of managed access evidence generation activities required by NICE, the Supplier may be required to:</w:t>
      </w:r>
      <w:bookmarkEnd w:id="42"/>
      <w:r w:rsidRPr="00276050">
        <w:rPr>
          <w:b w:val="0"/>
          <w:bCs w:val="0"/>
          <w:sz w:val="24"/>
          <w:szCs w:val="24"/>
        </w:rPr>
        <w:t xml:space="preserve"> </w:t>
      </w:r>
    </w:p>
    <w:p w14:paraId="6D530AE4" w14:textId="6916460D" w:rsidR="00612DC6" w:rsidRDefault="00EA7C7B" w:rsidP="00934B0B">
      <w:pPr>
        <w:pStyle w:val="ITTBodybullet2"/>
      </w:pPr>
      <w:r>
        <w:t>c</w:t>
      </w:r>
      <w:r w:rsidRPr="00AE6015">
        <w:t xml:space="preserve">arry </w:t>
      </w:r>
      <w:r w:rsidR="00AE6015" w:rsidRPr="00AE6015">
        <w:t>out controlled or comparative studies (including an initial feasibility assessment) to evaluate clinical and/or cost utility in collaboration with companies, registry teams and the NHS. This may require the Supplier to collect, monitor and/or analyse data from non-randomised cohorts of patients using the technology at selected hospitals or healthcare settings</w:t>
      </w:r>
    </w:p>
    <w:p w14:paraId="7F74ECF3" w14:textId="168A5012" w:rsidR="00AE6015" w:rsidRPr="00AE6015" w:rsidRDefault="00EA7C7B" w:rsidP="00934B0B">
      <w:pPr>
        <w:pStyle w:val="ITTBodybullet2"/>
      </w:pPr>
      <w:r>
        <w:t>p</w:t>
      </w:r>
      <w:r w:rsidR="00AE6015" w:rsidRPr="00AE6015">
        <w:t xml:space="preserve">rovide cost estimates of data collection activities </w:t>
      </w:r>
    </w:p>
    <w:p w14:paraId="43B323C8" w14:textId="532E72DE" w:rsidR="00AE6015" w:rsidRPr="00AE6015" w:rsidRDefault="00EA7C7B" w:rsidP="00307335">
      <w:pPr>
        <w:pStyle w:val="ITTBodybullet2"/>
      </w:pPr>
      <w:r>
        <w:t>c</w:t>
      </w:r>
      <w:r w:rsidR="00AE6015" w:rsidRPr="00AE6015">
        <w:t>omplete grant applications</w:t>
      </w:r>
    </w:p>
    <w:p w14:paraId="4A709316" w14:textId="37F98E8F" w:rsidR="00AE6015" w:rsidRPr="00AE6015" w:rsidRDefault="00EA7C7B" w:rsidP="00307335">
      <w:pPr>
        <w:pStyle w:val="ITTBodybullet2"/>
      </w:pPr>
      <w:r>
        <w:t>d</w:t>
      </w:r>
      <w:r w:rsidR="00AE6015" w:rsidRPr="00AE6015">
        <w:t>evelop data collection protocols, analysis plans and advice on statistical methodologies</w:t>
      </w:r>
    </w:p>
    <w:p w14:paraId="5BC78E41" w14:textId="7BDECA9A" w:rsidR="00AE6015" w:rsidRPr="00AE6015" w:rsidRDefault="00EA7C7B" w:rsidP="00307335">
      <w:pPr>
        <w:pStyle w:val="ITTBodybullet2"/>
      </w:pPr>
      <w:r>
        <w:t>r</w:t>
      </w:r>
      <w:r w:rsidR="00AE6015" w:rsidRPr="00AE6015">
        <w:t>eview and make recommendations on research ethics support, information governance and study management</w:t>
      </w:r>
    </w:p>
    <w:p w14:paraId="11A93699" w14:textId="2D0F812A" w:rsidR="00AE6015" w:rsidRPr="00AE6015" w:rsidRDefault="00EA7C7B" w:rsidP="00307335">
      <w:pPr>
        <w:pStyle w:val="ITTBodybullet2"/>
      </w:pPr>
      <w:r>
        <w:t>c</w:t>
      </w:r>
      <w:r w:rsidR="00AE6015" w:rsidRPr="00AE6015">
        <w:t>ritique protocols and/or data reports/analyses provided by third parties (</w:t>
      </w:r>
      <w:proofErr w:type="gramStart"/>
      <w:r w:rsidR="00AE6015" w:rsidRPr="00AE6015">
        <w:t>e.g.</w:t>
      </w:r>
      <w:proofErr w:type="gramEnd"/>
      <w:r w:rsidR="00AE6015" w:rsidRPr="00AE6015">
        <w:t xml:space="preserve"> companies, registry groups). </w:t>
      </w:r>
    </w:p>
    <w:p w14:paraId="23A03D09" w14:textId="46DAEE9E" w:rsidR="00AE6015" w:rsidRPr="00AE6015" w:rsidRDefault="00EA7C7B" w:rsidP="00307335">
      <w:pPr>
        <w:pStyle w:val="ITTBodybullet2"/>
      </w:pPr>
      <w:r>
        <w:t>l</w:t>
      </w:r>
      <w:r w:rsidR="00AE6015" w:rsidRPr="00AE6015">
        <w:t xml:space="preserve">ead register set-up, data collection, active register surveillance and register closedown </w:t>
      </w:r>
    </w:p>
    <w:p w14:paraId="37FAA3F5" w14:textId="5800EC61" w:rsidR="00AE6015" w:rsidRPr="00AE6015" w:rsidRDefault="00EA7C7B" w:rsidP="00307335">
      <w:pPr>
        <w:pStyle w:val="ITTBodybullet2"/>
      </w:pPr>
      <w:r>
        <w:t>p</w:t>
      </w:r>
      <w:r w:rsidR="00AE6015" w:rsidRPr="00AE6015">
        <w:t>erform economic modelling of interventions using data from registers or databases</w:t>
      </w:r>
    </w:p>
    <w:p w14:paraId="52F7F79A" w14:textId="36791BEE" w:rsidR="00AE6015" w:rsidRPr="00AE6015" w:rsidRDefault="00EA7C7B" w:rsidP="00307335">
      <w:pPr>
        <w:pStyle w:val="ITTBodybullet2"/>
      </w:pPr>
      <w:r>
        <w:t>p</w:t>
      </w:r>
      <w:r w:rsidR="00AE6015" w:rsidRPr="00AE6015">
        <w:t>erform systematic review &amp; meta-analysis of published literature</w:t>
      </w:r>
    </w:p>
    <w:p w14:paraId="0DE2B96C" w14:textId="5F31595E" w:rsidR="00AE6015" w:rsidRPr="00AE6015" w:rsidRDefault="00EA7C7B" w:rsidP="00307335">
      <w:pPr>
        <w:pStyle w:val="ITTBodybullet2"/>
      </w:pPr>
      <w:r>
        <w:t>p</w:t>
      </w:r>
      <w:r w:rsidR="00AE6015" w:rsidRPr="00AE6015">
        <w:t>erform gap analysis of an evidence base.</w:t>
      </w:r>
    </w:p>
    <w:p w14:paraId="4DF01BFB" w14:textId="3E4B77DA" w:rsidR="00AE6015" w:rsidRPr="00276050" w:rsidRDefault="00AE6015" w:rsidP="00276050">
      <w:pPr>
        <w:pStyle w:val="Heading3"/>
        <w:spacing w:line="240" w:lineRule="auto"/>
        <w:rPr>
          <w:b w:val="0"/>
          <w:bCs w:val="0"/>
          <w:sz w:val="24"/>
          <w:szCs w:val="24"/>
        </w:rPr>
      </w:pPr>
      <w:bookmarkStart w:id="43" w:name="_Toc80967843"/>
      <w:r w:rsidRPr="00276050">
        <w:rPr>
          <w:b w:val="0"/>
          <w:bCs w:val="0"/>
          <w:sz w:val="24"/>
          <w:szCs w:val="24"/>
        </w:rPr>
        <w:t xml:space="preserve">To be suitable for NICE’s purposes, the projects are expected to involve the following elements where appropriate (note that Project Briefs will be agreed with </w:t>
      </w:r>
      <w:r w:rsidR="00276050">
        <w:rPr>
          <w:b w:val="0"/>
          <w:bCs w:val="0"/>
          <w:sz w:val="24"/>
          <w:szCs w:val="24"/>
        </w:rPr>
        <w:t>t</w:t>
      </w:r>
      <w:r w:rsidRPr="00276050">
        <w:rPr>
          <w:b w:val="0"/>
          <w:bCs w:val="0"/>
          <w:sz w:val="24"/>
          <w:szCs w:val="24"/>
        </w:rPr>
        <w:t>he Supplier for each project):</w:t>
      </w:r>
      <w:bookmarkEnd w:id="43"/>
    </w:p>
    <w:p w14:paraId="0F6E4B6C" w14:textId="39D32DE6" w:rsidR="00AE6015" w:rsidRPr="00AE6015" w:rsidRDefault="00AE6015" w:rsidP="00307335">
      <w:pPr>
        <w:pStyle w:val="ITTBodybullet2"/>
      </w:pPr>
      <w:r w:rsidRPr="00AE6015">
        <w:t xml:space="preserve">a feasibility </w:t>
      </w:r>
      <w:proofErr w:type="gramStart"/>
      <w:r w:rsidRPr="00AE6015">
        <w:t>assessment;</w:t>
      </w:r>
      <w:proofErr w:type="gramEnd"/>
      <w:r w:rsidRPr="00AE6015">
        <w:t xml:space="preserve"> this may include identifying/validation of evidence gaps, identifying and evaluating the use of data sources (using, for example, a tool such as the Registry Evaluation and Quality </w:t>
      </w:r>
      <w:r w:rsidRPr="00AE6015">
        <w:lastRenderedPageBreak/>
        <w:t xml:space="preserve">Standards Tool </w:t>
      </w:r>
      <w:proofErr w:type="spellStart"/>
      <w:r w:rsidRPr="00AE6015">
        <w:t>REQueST</w:t>
      </w:r>
      <w:proofErr w:type="spellEnd"/>
      <w:r w:rsidRPr="00AE6015">
        <w:t>), and defining the costs associated with the project</w:t>
      </w:r>
    </w:p>
    <w:p w14:paraId="15501C8B" w14:textId="2533BE84" w:rsidR="00AE6015" w:rsidRPr="00AE6015" w:rsidRDefault="00AE6015" w:rsidP="00307335">
      <w:pPr>
        <w:pStyle w:val="ITTBodybullet2"/>
      </w:pPr>
      <w:r w:rsidRPr="00AE6015">
        <w:t>activities provided for in the contract sum are the set-up and analysis of data for the purposes of the project</w:t>
      </w:r>
      <w:r w:rsidR="00E40DBA">
        <w:t>. D</w:t>
      </w:r>
      <w:r w:rsidRPr="00AE6015">
        <w:t>ata collection from patients will normally be funded by third parties (</w:t>
      </w:r>
      <w:proofErr w:type="gramStart"/>
      <w:r w:rsidRPr="00AE6015">
        <w:t>e.g.</w:t>
      </w:r>
      <w:proofErr w:type="gramEnd"/>
      <w:r w:rsidRPr="00AE6015">
        <w:t xml:space="preserve"> company or grant funder) </w:t>
      </w:r>
    </w:p>
    <w:p w14:paraId="3D63BDB7" w14:textId="768D428A" w:rsidR="00AE6015" w:rsidRPr="00AE6015" w:rsidRDefault="00AE6015" w:rsidP="00307335">
      <w:pPr>
        <w:pStyle w:val="ITTBodybullet2"/>
      </w:pPr>
      <w:r w:rsidRPr="00AE6015">
        <w:t xml:space="preserve">a pilot of the data collection activities where appropriate </w:t>
      </w:r>
    </w:p>
    <w:p w14:paraId="3671D851" w14:textId="1100D1AF" w:rsidR="00AE6015" w:rsidRPr="00AE6015" w:rsidRDefault="00AE6015" w:rsidP="00307335">
      <w:pPr>
        <w:pStyle w:val="ITTBodybullet2"/>
      </w:pPr>
      <w:r w:rsidRPr="00AE6015">
        <w:t>be conducted in a ‘real world’ clinical setting</w:t>
      </w:r>
    </w:p>
    <w:p w14:paraId="4884762A" w14:textId="6778E7C2" w:rsidR="00AE6015" w:rsidRPr="00AE6015" w:rsidRDefault="00AE6015" w:rsidP="00307335">
      <w:pPr>
        <w:pStyle w:val="ITTBodybullet2"/>
      </w:pPr>
      <w:r w:rsidRPr="00AE6015">
        <w:t>require the development of a research/data protocol and/or statistical analysis plan. NICE may request that the protocol is made available to third parties as an indication of the work that is required to generate appropriate evidence for further assessment by NICE</w:t>
      </w:r>
    </w:p>
    <w:p w14:paraId="1CB601D3" w14:textId="245FFEBB" w:rsidR="00AE6015" w:rsidRPr="00AE6015" w:rsidRDefault="00AE6015" w:rsidP="00307335">
      <w:pPr>
        <w:pStyle w:val="ITTBodybullet2"/>
      </w:pPr>
      <w:r w:rsidRPr="00AE6015">
        <w:t xml:space="preserve">may involve the collection of new data from the technologies in use, and not only the synthesis of data from existing studies </w:t>
      </w:r>
    </w:p>
    <w:p w14:paraId="0D70C9F5" w14:textId="11BC0C13" w:rsidR="00AE6015" w:rsidRPr="00AE6015" w:rsidRDefault="00AE6015" w:rsidP="00307335">
      <w:pPr>
        <w:pStyle w:val="ITTBodybullet2"/>
      </w:pPr>
      <w:r w:rsidRPr="00AE6015">
        <w:t xml:space="preserve">pragmatic research activity such as RCTs or observational studies may use new or historical data </w:t>
      </w:r>
    </w:p>
    <w:p w14:paraId="3B00685D" w14:textId="7627FAF5" w:rsidR="00AE6015" w:rsidRPr="00AE6015" w:rsidRDefault="00AE6015" w:rsidP="00307335">
      <w:pPr>
        <w:pStyle w:val="ITTBodybullet2"/>
      </w:pPr>
      <w:r w:rsidRPr="00AE6015">
        <w:t>involve people whose condition would normally be managed using the technology</w:t>
      </w:r>
    </w:p>
    <w:p w14:paraId="19B07FA5" w14:textId="76D382D6" w:rsidR="00AE6015" w:rsidRPr="00AE6015" w:rsidRDefault="00AE6015" w:rsidP="00307335">
      <w:pPr>
        <w:pStyle w:val="ITTBodybullet2"/>
      </w:pPr>
      <w:r w:rsidRPr="00AE6015">
        <w:t>evaluation of clinical, service organisation and economic measurements of the effect of the technology compared with current practice</w:t>
      </w:r>
    </w:p>
    <w:p w14:paraId="231D97D6" w14:textId="2B4F3312" w:rsidR="00AE6015" w:rsidRPr="00AE6015" w:rsidRDefault="00AE6015" w:rsidP="00307335">
      <w:pPr>
        <w:pStyle w:val="ITTBodybullet2"/>
      </w:pPr>
      <w:r w:rsidRPr="00AE6015">
        <w:t xml:space="preserve">encompass outcomes relevant to the claimed advantages of the technology and that which address the current evidence gaps/ clinical uncertainties </w:t>
      </w:r>
    </w:p>
    <w:p w14:paraId="2AAA7EBB" w14:textId="1866FF9A" w:rsidR="00AE6015" w:rsidRDefault="00AE6015" w:rsidP="00307335">
      <w:pPr>
        <w:pStyle w:val="ITTBodybullet2"/>
      </w:pPr>
      <w:r w:rsidRPr="00AE6015">
        <w:t>include Patient Reported Outcome (PRO) and/or carer/clinical utility outcomes (that is, outcomes of benefit to patients and/or carers, rather than focusing only on measurements such as diagnostic accuracy) using a standardised utility instrument (normally EQ-5D-3L). The Supplier may be required to make recommendations to NICE on the most appropriate PRO tool to capture this information in the population of interest.</w:t>
      </w:r>
    </w:p>
    <w:p w14:paraId="37B9E310" w14:textId="033E582C" w:rsidR="00AE6015" w:rsidRPr="00276050" w:rsidRDefault="00AE6015" w:rsidP="00276050">
      <w:pPr>
        <w:pStyle w:val="Heading3"/>
        <w:spacing w:line="240" w:lineRule="auto"/>
        <w:rPr>
          <w:b w:val="0"/>
          <w:bCs w:val="0"/>
          <w:sz w:val="24"/>
          <w:szCs w:val="24"/>
        </w:rPr>
      </w:pPr>
      <w:bookmarkStart w:id="44" w:name="_Toc80967844"/>
      <w:r w:rsidRPr="00276050">
        <w:rPr>
          <w:b w:val="0"/>
          <w:bCs w:val="0"/>
          <w:sz w:val="24"/>
          <w:szCs w:val="24"/>
        </w:rPr>
        <w:t xml:space="preserve">Where specialists and other NHS staff in diverse units are potential collaborators, the Supplier may be requested to act as the coordinating centre. This will involve developing protocols and all associated documents; and establishing good communication with participants and their NHS organisation. The Supplier will become involved as required, in providing advice on the completion of research ethics and governance applications, and in pursuing the status of those applications. The Supplier will offer expert advice, </w:t>
      </w:r>
      <w:proofErr w:type="gramStart"/>
      <w:r w:rsidRPr="00276050">
        <w:rPr>
          <w:b w:val="0"/>
          <w:bCs w:val="0"/>
          <w:sz w:val="24"/>
          <w:szCs w:val="24"/>
        </w:rPr>
        <w:t>support</w:t>
      </w:r>
      <w:proofErr w:type="gramEnd"/>
      <w:r w:rsidRPr="00276050">
        <w:rPr>
          <w:b w:val="0"/>
          <w:bCs w:val="0"/>
          <w:sz w:val="24"/>
          <w:szCs w:val="24"/>
        </w:rPr>
        <w:t xml:space="preserve"> and facilitation to potential investigators in seeking funding for specific research questions, including applications to </w:t>
      </w:r>
      <w:r w:rsidR="00EA7C7B">
        <w:rPr>
          <w:b w:val="0"/>
          <w:bCs w:val="0"/>
          <w:sz w:val="24"/>
          <w:szCs w:val="24"/>
        </w:rPr>
        <w:t>I</w:t>
      </w:r>
      <w:r w:rsidRPr="00276050">
        <w:rPr>
          <w:b w:val="0"/>
          <w:bCs w:val="0"/>
          <w:sz w:val="24"/>
          <w:szCs w:val="24"/>
        </w:rPr>
        <w:t>ndustry and to national research funding bodies.</w:t>
      </w:r>
      <w:bookmarkEnd w:id="44"/>
      <w:r w:rsidRPr="00276050">
        <w:rPr>
          <w:b w:val="0"/>
          <w:bCs w:val="0"/>
          <w:sz w:val="24"/>
          <w:szCs w:val="24"/>
        </w:rPr>
        <w:t xml:space="preserve"> </w:t>
      </w:r>
    </w:p>
    <w:p w14:paraId="7148A9C3" w14:textId="77777777" w:rsidR="00AE6015" w:rsidRPr="00276050" w:rsidRDefault="00AE6015" w:rsidP="00276050">
      <w:pPr>
        <w:pStyle w:val="Heading3"/>
        <w:spacing w:line="240" w:lineRule="auto"/>
        <w:rPr>
          <w:b w:val="0"/>
          <w:bCs w:val="0"/>
          <w:sz w:val="24"/>
          <w:szCs w:val="24"/>
        </w:rPr>
      </w:pPr>
      <w:bookmarkStart w:id="45" w:name="_Toc80967845"/>
      <w:r w:rsidRPr="00276050">
        <w:rPr>
          <w:b w:val="0"/>
          <w:bCs w:val="0"/>
          <w:sz w:val="24"/>
          <w:szCs w:val="24"/>
        </w:rPr>
        <w:t>NICE will not act as the sponsor of any research as defined within clinical research governance. The Supplier or their collaborators will fulfil this role.</w:t>
      </w:r>
      <w:bookmarkEnd w:id="45"/>
    </w:p>
    <w:p w14:paraId="0BA58C96" w14:textId="77777777" w:rsidR="00AE6015" w:rsidRPr="00AE6015" w:rsidRDefault="00AE6015" w:rsidP="00AE6015">
      <w:pPr>
        <w:spacing w:before="60" w:after="120" w:line="240" w:lineRule="auto"/>
        <w:ind w:left="1854"/>
        <w:rPr>
          <w:rFonts w:ascii="Arial" w:hAnsi="Arial" w:cs="Arial"/>
          <w:sz w:val="24"/>
          <w:szCs w:val="24"/>
          <w:lang w:bidi="ar-SA"/>
        </w:rPr>
      </w:pPr>
    </w:p>
    <w:p w14:paraId="690F1BF3" w14:textId="77777777" w:rsidR="00AE6015" w:rsidRPr="00AE6015" w:rsidRDefault="00AE6015" w:rsidP="00276050">
      <w:pPr>
        <w:pStyle w:val="Heading2"/>
        <w:rPr>
          <w:lang w:bidi="ar-SA"/>
        </w:rPr>
      </w:pPr>
      <w:bookmarkStart w:id="46" w:name="_Toc80967846"/>
      <w:bookmarkStart w:id="47" w:name="_Toc83902644"/>
      <w:r w:rsidRPr="00AE6015">
        <w:rPr>
          <w:lang w:bidi="ar-SA"/>
        </w:rPr>
        <w:lastRenderedPageBreak/>
        <w:t>Compiling and analysing observational data based on registers or databases</w:t>
      </w:r>
      <w:bookmarkEnd w:id="32"/>
      <w:bookmarkEnd w:id="33"/>
      <w:bookmarkEnd w:id="34"/>
      <w:bookmarkEnd w:id="46"/>
      <w:bookmarkEnd w:id="47"/>
    </w:p>
    <w:p w14:paraId="03B021BB" w14:textId="77777777" w:rsidR="00AE6015" w:rsidRPr="00276050" w:rsidRDefault="00AE6015" w:rsidP="00276050">
      <w:pPr>
        <w:pStyle w:val="Heading3"/>
        <w:spacing w:line="240" w:lineRule="auto"/>
        <w:rPr>
          <w:b w:val="0"/>
          <w:bCs w:val="0"/>
          <w:sz w:val="24"/>
          <w:szCs w:val="24"/>
        </w:rPr>
      </w:pPr>
      <w:bookmarkStart w:id="48" w:name="_Toc80967847"/>
      <w:r w:rsidRPr="00276050">
        <w:rPr>
          <w:b w:val="0"/>
          <w:bCs w:val="0"/>
          <w:sz w:val="24"/>
          <w:szCs w:val="24"/>
        </w:rPr>
        <w:t xml:space="preserve">Register based data collection will be required to demonstrate quality standards as set out by </w:t>
      </w:r>
      <w:proofErr w:type="spellStart"/>
      <w:r w:rsidRPr="00276050">
        <w:rPr>
          <w:b w:val="0"/>
          <w:bCs w:val="0"/>
          <w:sz w:val="24"/>
          <w:szCs w:val="24"/>
        </w:rPr>
        <w:t>REQueST</w:t>
      </w:r>
      <w:proofErr w:type="spellEnd"/>
      <w:r w:rsidRPr="00276050">
        <w:rPr>
          <w:b w:val="0"/>
          <w:bCs w:val="0"/>
          <w:sz w:val="24"/>
          <w:szCs w:val="24"/>
        </w:rPr>
        <w:t xml:space="preserve"> or other appropriate tools.</w:t>
      </w:r>
      <w:bookmarkEnd w:id="48"/>
    </w:p>
    <w:p w14:paraId="170ABE5B" w14:textId="3F081865" w:rsidR="00AE6015" w:rsidRPr="00276050" w:rsidRDefault="00AE6015" w:rsidP="00276050">
      <w:pPr>
        <w:pStyle w:val="Heading3"/>
        <w:spacing w:line="240" w:lineRule="auto"/>
        <w:rPr>
          <w:b w:val="0"/>
          <w:bCs w:val="0"/>
          <w:sz w:val="24"/>
          <w:szCs w:val="24"/>
        </w:rPr>
      </w:pPr>
      <w:bookmarkStart w:id="49" w:name="_Toc80967848"/>
      <w:r w:rsidRPr="00276050">
        <w:rPr>
          <w:b w:val="0"/>
          <w:bCs w:val="0"/>
          <w:sz w:val="24"/>
          <w:szCs w:val="24"/>
        </w:rPr>
        <w:t>Register data or data from similar real-world sources may be used by NICE to enable it to review its guidance, develop guidance on new topics or answer evaluative questions such as those set by NHS England</w:t>
      </w:r>
      <w:r w:rsidR="00E40DBA" w:rsidRPr="00276050">
        <w:rPr>
          <w:b w:val="0"/>
          <w:bCs w:val="0"/>
          <w:sz w:val="24"/>
          <w:szCs w:val="24"/>
        </w:rPr>
        <w:t xml:space="preserve"> and NHS Improvement</w:t>
      </w:r>
      <w:r w:rsidRPr="00276050">
        <w:rPr>
          <w:b w:val="0"/>
          <w:bCs w:val="0"/>
          <w:sz w:val="24"/>
          <w:szCs w:val="24"/>
        </w:rPr>
        <w:t xml:space="preserve"> in the Commissioning through Evaluation. Register data may also be used by NICE to follow up significant adverse events or safety outcomes, particularly but not solely for the interventional procedures programme. Such sources may also be used by NICE to obtain resource utilisation data or data on longer term clinical outcomes, to understand the extent to which a product or procedure is already used in practice in the NHS or, when a treatment has been recommended for use in managed access, to generate data to address clinical uncertainty associated with a promising technology.</w:t>
      </w:r>
      <w:bookmarkEnd w:id="49"/>
      <w:r w:rsidRPr="00276050">
        <w:rPr>
          <w:b w:val="0"/>
          <w:bCs w:val="0"/>
          <w:sz w:val="24"/>
          <w:szCs w:val="24"/>
        </w:rPr>
        <w:t xml:space="preserve">  </w:t>
      </w:r>
    </w:p>
    <w:p w14:paraId="12355E1C" w14:textId="349CA446" w:rsidR="00AE6015" w:rsidRPr="00276050" w:rsidRDefault="00AE6015" w:rsidP="00276050">
      <w:pPr>
        <w:pStyle w:val="Heading3"/>
        <w:spacing w:line="240" w:lineRule="auto"/>
        <w:rPr>
          <w:b w:val="0"/>
          <w:bCs w:val="0"/>
          <w:sz w:val="24"/>
          <w:szCs w:val="24"/>
        </w:rPr>
      </w:pPr>
      <w:bookmarkStart w:id="50" w:name="_Toc80967849"/>
      <w:r w:rsidRPr="00276050">
        <w:rPr>
          <w:b w:val="0"/>
          <w:bCs w:val="0"/>
          <w:sz w:val="24"/>
          <w:szCs w:val="24"/>
        </w:rPr>
        <w:t>Registers or databases for medical technologies typically comprise either established national registers whose datasets might be used or modified to collect data relating to the product or procedure of interest, or new databases established for a specific research purpose. Under this specification, the Supplier may be required to establish a de novo register or to recommend modifications to an existing register, and to analyse data from such registers. Activities related to registries or databases may include:</w:t>
      </w:r>
      <w:bookmarkEnd w:id="50"/>
    </w:p>
    <w:p w14:paraId="246822BA" w14:textId="7856D324" w:rsidR="00AE6015" w:rsidRPr="00AE6015" w:rsidRDefault="00AE6015" w:rsidP="00307335">
      <w:pPr>
        <w:pStyle w:val="ITTBodybullet2"/>
      </w:pPr>
      <w:r w:rsidRPr="00AE6015">
        <w:t>data collection, including from multiple sources</w:t>
      </w:r>
    </w:p>
    <w:p w14:paraId="4A090925" w14:textId="35EEF162" w:rsidR="00AE6015" w:rsidRPr="00AE6015" w:rsidRDefault="00AE6015" w:rsidP="00307335">
      <w:pPr>
        <w:pStyle w:val="ITTBodybullet2"/>
      </w:pPr>
      <w:r w:rsidRPr="00AE6015">
        <w:t>modification of existing routine datasets</w:t>
      </w:r>
    </w:p>
    <w:p w14:paraId="57B0A688" w14:textId="2AAF0642" w:rsidR="00AE6015" w:rsidRPr="00AE6015" w:rsidRDefault="00AE6015" w:rsidP="00307335">
      <w:pPr>
        <w:pStyle w:val="ITTBodybullet2"/>
      </w:pPr>
      <w:r w:rsidRPr="00AE6015">
        <w:t>data analysis</w:t>
      </w:r>
    </w:p>
    <w:p w14:paraId="2EF1A44C" w14:textId="178FDAA9" w:rsidR="00AE6015" w:rsidRPr="00AE6015" w:rsidRDefault="00AE6015" w:rsidP="00307335">
      <w:pPr>
        <w:pStyle w:val="ITTBodybullet2"/>
      </w:pPr>
      <w:r w:rsidRPr="00AE6015">
        <w:t>facilitation of data linkage to external databases</w:t>
      </w:r>
    </w:p>
    <w:p w14:paraId="0738B8E0" w14:textId="77777777" w:rsidR="00AE6015" w:rsidRPr="00276050" w:rsidRDefault="00AE6015" w:rsidP="00276050">
      <w:pPr>
        <w:pStyle w:val="Heading3"/>
        <w:spacing w:line="240" w:lineRule="auto"/>
        <w:rPr>
          <w:b w:val="0"/>
          <w:bCs w:val="0"/>
          <w:sz w:val="24"/>
          <w:szCs w:val="24"/>
        </w:rPr>
      </w:pPr>
      <w:r w:rsidRPr="00276050">
        <w:rPr>
          <w:b w:val="0"/>
          <w:bCs w:val="0"/>
          <w:sz w:val="24"/>
          <w:szCs w:val="24"/>
        </w:rPr>
        <w:t>Where requested by NICE the Supplier will carry out a feasibility study before embarking on the substantive work package. This may include a sample size calculation to determine the number of people to be included in an analysis/ clinical trial and the time that the project will take to complete recruitment.</w:t>
      </w:r>
      <w:bookmarkStart w:id="51" w:name="_Toc358285079"/>
    </w:p>
    <w:p w14:paraId="261924DF" w14:textId="77777777" w:rsidR="00AE6015" w:rsidRPr="00AE6015" w:rsidRDefault="00AE6015" w:rsidP="00276050">
      <w:pPr>
        <w:pStyle w:val="Heading2"/>
        <w:rPr>
          <w:lang w:bidi="ar-SA"/>
        </w:rPr>
      </w:pPr>
      <w:bookmarkStart w:id="52" w:name="_Toc495071604"/>
      <w:bookmarkStart w:id="53" w:name="_Toc80967850"/>
      <w:bookmarkStart w:id="54" w:name="_Toc83902645"/>
      <w:r w:rsidRPr="00AE6015">
        <w:rPr>
          <w:lang w:bidi="ar-SA"/>
        </w:rPr>
        <w:t>Data collection using new or established registers</w:t>
      </w:r>
      <w:bookmarkEnd w:id="51"/>
      <w:bookmarkEnd w:id="52"/>
      <w:bookmarkEnd w:id="53"/>
      <w:bookmarkEnd w:id="54"/>
    </w:p>
    <w:p w14:paraId="2DA83B08" w14:textId="55C05278" w:rsidR="00AE6015" w:rsidRPr="00276050" w:rsidRDefault="00AE6015" w:rsidP="00276050">
      <w:pPr>
        <w:pStyle w:val="Heading3"/>
        <w:spacing w:line="240" w:lineRule="auto"/>
        <w:rPr>
          <w:b w:val="0"/>
          <w:bCs w:val="0"/>
          <w:sz w:val="24"/>
          <w:szCs w:val="24"/>
        </w:rPr>
      </w:pPr>
      <w:r w:rsidRPr="00276050">
        <w:rPr>
          <w:b w:val="0"/>
          <w:bCs w:val="0"/>
          <w:sz w:val="24"/>
          <w:szCs w:val="24"/>
        </w:rPr>
        <w:t>For both existing and new registers, the Supplier will ensure that a suitable agreement (such as a Memorandum of Agreement) is in place between their organisation and the partner(s) involved in the project before the work commences, even where no funding is passed from the Supplier to the working partners. This is to reassure NICE and the Supplier that all partners are committed to the content and delivery date of the work package.</w:t>
      </w:r>
      <w:r w:rsidR="00E40DBA" w:rsidRPr="00276050">
        <w:rPr>
          <w:b w:val="0"/>
          <w:bCs w:val="0"/>
          <w:sz w:val="24"/>
          <w:szCs w:val="24"/>
        </w:rPr>
        <w:t xml:space="preserve"> Where necessary, t</w:t>
      </w:r>
      <w:r w:rsidRPr="00276050">
        <w:rPr>
          <w:b w:val="0"/>
          <w:bCs w:val="0"/>
          <w:sz w:val="24"/>
          <w:szCs w:val="24"/>
        </w:rPr>
        <w:t xml:space="preserve">he Supplier will set aside resources to deliver the project to meet </w:t>
      </w:r>
      <w:r w:rsidRPr="00276050">
        <w:rPr>
          <w:b w:val="0"/>
          <w:bCs w:val="0"/>
          <w:sz w:val="24"/>
          <w:szCs w:val="24"/>
        </w:rPr>
        <w:lastRenderedPageBreak/>
        <w:t>NICE’s needs. The Supplier shall meet the costs of any subcontracting or procurement that is required.</w:t>
      </w:r>
    </w:p>
    <w:p w14:paraId="29ED6857" w14:textId="0AD46489"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NICE commissions databases or registers for a specified purpose and </w:t>
      </w:r>
      <w:proofErr w:type="gramStart"/>
      <w:r w:rsidRPr="00116E91">
        <w:rPr>
          <w:b w:val="0"/>
          <w:bCs w:val="0"/>
          <w:sz w:val="24"/>
          <w:szCs w:val="24"/>
        </w:rPr>
        <w:t>period of time</w:t>
      </w:r>
      <w:proofErr w:type="gramEnd"/>
      <w:r w:rsidRPr="00116E91">
        <w:rPr>
          <w:b w:val="0"/>
          <w:bCs w:val="0"/>
          <w:sz w:val="24"/>
          <w:szCs w:val="24"/>
        </w:rPr>
        <w:t xml:space="preserve">. An exit strategy is normally therefore required to ensure that any database that has continued interest from another body outside NICE is supported after the end of the project. Where no such interest or support is available, the Supplier will need to terminate the data collection. The exit strategy should include handover of issues such as data ownership and future access rights. The Supplier will be responsible for highlighting such issues to stakeholders and ensuring that the benefits of previous data collection are maximised where possible, </w:t>
      </w:r>
      <w:proofErr w:type="gramStart"/>
      <w:r w:rsidRPr="00116E91">
        <w:rPr>
          <w:b w:val="0"/>
          <w:bCs w:val="0"/>
          <w:sz w:val="24"/>
          <w:szCs w:val="24"/>
        </w:rPr>
        <w:t>e.g.</w:t>
      </w:r>
      <w:proofErr w:type="gramEnd"/>
      <w:r w:rsidRPr="00116E91">
        <w:rPr>
          <w:b w:val="0"/>
          <w:bCs w:val="0"/>
          <w:sz w:val="24"/>
          <w:szCs w:val="24"/>
        </w:rPr>
        <w:t xml:space="preserve"> by finding bodies that might be interested in continuing to make the data source available. This is commissioned by NICE as a register close-down module.</w:t>
      </w:r>
    </w:p>
    <w:p w14:paraId="13C8A18F" w14:textId="77777777" w:rsidR="00AE6015" w:rsidRPr="00307335" w:rsidRDefault="00AE6015" w:rsidP="00307335">
      <w:pPr>
        <w:pStyle w:val="ITTgenericheading"/>
      </w:pPr>
      <w:r w:rsidRPr="00307335">
        <w:t>Established databases or registers</w:t>
      </w:r>
    </w:p>
    <w:p w14:paraId="12EA9729"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The Supplier will engage with specialists, and those supervising registers to agree use of or modification of appropriate existing datasets, to capture relevant details of patients and outcomes that are required by NICE.</w:t>
      </w:r>
    </w:p>
    <w:p w14:paraId="4CB5B9D0"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The Supplier will ensure that a dataset being used for data collection has appropriate independent oversight, and that all relevant data will be made available to NICE both during and at the end of the collection and analysis periods (applies particularly to company-sponsored datasets).</w:t>
      </w:r>
    </w:p>
    <w:p w14:paraId="72A64A0F"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The Supplier will collaborate with those holding the registers to monitor numbers of patients, the coverage of the population of interest, data quality and completeness. NICE will provide a specification for any regular and/or final reports as required by the project. The reports should be delivered to NICE and the register owner usually at a minimum 6-monthly (this may be more frequent depending on the requirements of the project) for review and agreement of any onward action.</w:t>
      </w:r>
    </w:p>
    <w:p w14:paraId="7074180F" w14:textId="77777777" w:rsidR="00AE6015" w:rsidRPr="00AE6015" w:rsidRDefault="00AE6015" w:rsidP="00307335">
      <w:pPr>
        <w:pStyle w:val="ITTgenericheading"/>
      </w:pPr>
      <w:bookmarkStart w:id="55" w:name="_Toc495071605"/>
      <w:bookmarkStart w:id="56" w:name="_Toc358285080"/>
      <w:r w:rsidRPr="00AE6015">
        <w:t>De novo databases or registers</w:t>
      </w:r>
      <w:bookmarkEnd w:id="55"/>
      <w:r w:rsidRPr="00AE6015">
        <w:t xml:space="preserve"> </w:t>
      </w:r>
      <w:bookmarkEnd w:id="56"/>
      <w:r w:rsidRPr="00AE6015">
        <w:t xml:space="preserve"> </w:t>
      </w:r>
    </w:p>
    <w:p w14:paraId="30CBE5F8"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The Supplier will set up and manage new databases or registers upon request by NICE. This normally follows a feasibility stage where the possibility of using existing datasets has been explored and discounted.  </w:t>
      </w:r>
    </w:p>
    <w:p w14:paraId="194231F0" w14:textId="0BEE724B"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The Supplier will engage with specialists, other NHS staff and product sponsors to agree appropriate datasets to capture relevant details of patients, outcomes and impacts on the service of specified technologies and </w:t>
      </w:r>
      <w:r w:rsidR="00307335" w:rsidRPr="00116E91">
        <w:rPr>
          <w:b w:val="0"/>
          <w:bCs w:val="0"/>
          <w:sz w:val="24"/>
          <w:szCs w:val="24"/>
        </w:rPr>
        <w:t>procedures and</w:t>
      </w:r>
      <w:r w:rsidRPr="00116E91">
        <w:rPr>
          <w:b w:val="0"/>
          <w:bCs w:val="0"/>
          <w:sz w:val="24"/>
          <w:szCs w:val="24"/>
        </w:rPr>
        <w:t xml:space="preserve"> encouraging compliance with data submission.</w:t>
      </w:r>
    </w:p>
    <w:p w14:paraId="1B828BAC"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The Supplier will ensure that a dataset they are developing has appropriate independent oversight, and that all relevant data will be made available to NICE.</w:t>
      </w:r>
    </w:p>
    <w:p w14:paraId="7A3503E5" w14:textId="77777777" w:rsidR="00AE6015" w:rsidRPr="00AE6015" w:rsidRDefault="00AE6015" w:rsidP="00116E91">
      <w:pPr>
        <w:pStyle w:val="Heading2"/>
        <w:rPr>
          <w:lang w:bidi="ar-SA"/>
        </w:rPr>
      </w:pPr>
      <w:bookmarkStart w:id="57" w:name="_Toc495071606"/>
      <w:bookmarkStart w:id="58" w:name="_Toc80967851"/>
      <w:bookmarkStart w:id="59" w:name="_Toc83902646"/>
      <w:r w:rsidRPr="00AE6015">
        <w:rPr>
          <w:lang w:bidi="ar-SA"/>
        </w:rPr>
        <w:t>Register data quality assurance and analysis – clinical evidence</w:t>
      </w:r>
      <w:bookmarkEnd w:id="57"/>
      <w:bookmarkEnd w:id="58"/>
      <w:bookmarkEnd w:id="59"/>
    </w:p>
    <w:p w14:paraId="5EE37428"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lastRenderedPageBreak/>
        <w:t>The Supplier will take an “Active Surveillance” approach to data collection, which includes arranging and undertaking data linkage with routine information systems (</w:t>
      </w:r>
      <w:proofErr w:type="gramStart"/>
      <w:r w:rsidRPr="00116E91">
        <w:rPr>
          <w:b w:val="0"/>
          <w:bCs w:val="0"/>
          <w:sz w:val="24"/>
          <w:szCs w:val="24"/>
        </w:rPr>
        <w:t>e.g.</w:t>
      </w:r>
      <w:proofErr w:type="gramEnd"/>
      <w:r w:rsidRPr="00116E91">
        <w:rPr>
          <w:b w:val="0"/>
          <w:bCs w:val="0"/>
          <w:sz w:val="24"/>
          <w:szCs w:val="24"/>
        </w:rPr>
        <w:t xml:space="preserve"> Hospital Episode Statistics) and other data sources in order to assess coverage of specialist datasets, and encourage data entry where gaps are identified. Where data entry and/or coverage is lower than expected, the Supplier will encourage compliance with data submission through regular contact with staff submitting the data. Remediation approaches may involve the resourcing of data liaison personnel to support data entry and management.  </w:t>
      </w:r>
    </w:p>
    <w:p w14:paraId="56EC080F"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Data analysis for register data is specified by NICE as a separate module. This may or may not be allocated to the same Supplier that creates the register or data collection.</w:t>
      </w:r>
    </w:p>
    <w:p w14:paraId="37FE0602"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NICE requires register or database data (whether from an established or de novo data collection) to be analysed according to the protocol which is normally agreed either during the feasibility stage or when the data collection is initiated.  </w:t>
      </w:r>
    </w:p>
    <w:p w14:paraId="27395D69"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The Supplier will carry out a literature search to uncover relevant literature that may have been published since the register was established.</w:t>
      </w:r>
    </w:p>
    <w:p w14:paraId="5EC14116"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A publication policy will be agreed between NICE and the Supplier (and any other collaborators) in the development of the protocol. Outputs from projects are not expected to be published until after the publication of NICE’s guidance for the technology.</w:t>
      </w:r>
    </w:p>
    <w:p w14:paraId="36EACED2" w14:textId="77777777" w:rsidR="00AE6015" w:rsidRPr="00AE6015" w:rsidRDefault="00AE6015" w:rsidP="00116E91">
      <w:pPr>
        <w:pStyle w:val="Heading2"/>
        <w:rPr>
          <w:lang w:bidi="ar-SA"/>
        </w:rPr>
      </w:pPr>
      <w:bookmarkStart w:id="60" w:name="_Toc495071607"/>
      <w:bookmarkStart w:id="61" w:name="_Toc80967852"/>
      <w:bookmarkStart w:id="62" w:name="_Toc83902647"/>
      <w:r w:rsidRPr="00307335">
        <w:t>Economic modelling of interventions in registers</w:t>
      </w:r>
      <w:r w:rsidRPr="00AE6015">
        <w:rPr>
          <w:lang w:bidi="ar-SA"/>
        </w:rPr>
        <w:t xml:space="preserve"> or databases</w:t>
      </w:r>
      <w:bookmarkEnd w:id="60"/>
      <w:bookmarkEnd w:id="61"/>
      <w:bookmarkEnd w:id="62"/>
      <w:r w:rsidRPr="00AE6015">
        <w:rPr>
          <w:lang w:bidi="ar-SA"/>
        </w:rPr>
        <w:t xml:space="preserve"> </w:t>
      </w:r>
    </w:p>
    <w:p w14:paraId="690D225B"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For some interventions on which register data has been collected, NICE will require economic modelling. The appropriateness of this will normally be examined as part of the feasibility stage. Although standard cost-effectiveness modelling will normally be required via a de novo model, the Supplier shall make recommendations on the most efficient way of answering the cost-effectiveness uncertainties using register data.  </w:t>
      </w:r>
    </w:p>
    <w:p w14:paraId="723A9233" w14:textId="77777777" w:rsidR="00AE6015" w:rsidRPr="00AE6015" w:rsidRDefault="00AE6015" w:rsidP="00116E91">
      <w:pPr>
        <w:pStyle w:val="Heading2"/>
        <w:rPr>
          <w:lang w:bidi="ar-SA"/>
        </w:rPr>
      </w:pPr>
      <w:bookmarkStart w:id="63" w:name="_Toc484419293"/>
      <w:bookmarkStart w:id="64" w:name="_Toc484422238"/>
      <w:bookmarkStart w:id="65" w:name="_Toc495071610"/>
      <w:bookmarkStart w:id="66" w:name="_Toc80967854"/>
      <w:bookmarkStart w:id="67" w:name="_Toc83902648"/>
      <w:bookmarkEnd w:id="63"/>
      <w:bookmarkEnd w:id="64"/>
      <w:r w:rsidRPr="00AE6015">
        <w:rPr>
          <w:lang w:bidi="ar-SA"/>
        </w:rPr>
        <w:t>Feasibility studies – Registers</w:t>
      </w:r>
      <w:bookmarkEnd w:id="65"/>
      <w:r w:rsidRPr="00AE6015">
        <w:rPr>
          <w:lang w:bidi="ar-SA"/>
        </w:rPr>
        <w:t xml:space="preserve">, real world </w:t>
      </w:r>
      <w:bookmarkStart w:id="68" w:name="_Hlk72163958"/>
      <w:r w:rsidRPr="00AE6015">
        <w:rPr>
          <w:lang w:bidi="ar-SA"/>
        </w:rPr>
        <w:t xml:space="preserve">evidence generation </w:t>
      </w:r>
      <w:bookmarkEnd w:id="68"/>
      <w:r w:rsidRPr="00AE6015">
        <w:rPr>
          <w:lang w:bidi="ar-SA"/>
        </w:rPr>
        <w:t>and managed access projects</w:t>
      </w:r>
      <w:bookmarkEnd w:id="66"/>
      <w:bookmarkEnd w:id="67"/>
    </w:p>
    <w:p w14:paraId="4C07ACA2" w14:textId="77777777" w:rsidR="00AE6015" w:rsidRPr="00116E91" w:rsidRDefault="00AE6015" w:rsidP="00116E91">
      <w:pPr>
        <w:pStyle w:val="Heading3"/>
        <w:spacing w:line="240" w:lineRule="auto"/>
        <w:rPr>
          <w:b w:val="0"/>
          <w:bCs w:val="0"/>
          <w:sz w:val="24"/>
          <w:szCs w:val="24"/>
        </w:rPr>
      </w:pPr>
      <w:bookmarkStart w:id="69" w:name="_Hlk72163930"/>
      <w:r w:rsidRPr="00116E91">
        <w:rPr>
          <w:b w:val="0"/>
          <w:bCs w:val="0"/>
          <w:sz w:val="24"/>
          <w:szCs w:val="24"/>
        </w:rPr>
        <w:t xml:space="preserve">Post licencing evidence generation, managed access </w:t>
      </w:r>
      <w:bookmarkEnd w:id="69"/>
      <w:r w:rsidRPr="00116E91">
        <w:rPr>
          <w:b w:val="0"/>
          <w:bCs w:val="0"/>
          <w:sz w:val="24"/>
          <w:szCs w:val="24"/>
        </w:rPr>
        <w:t xml:space="preserve">and Commissioning through Evaluation projects will usually begin with a feasibility stage undertaken by the Supplier who will establish a range of factors affecting the feasibility of the project including finalising the questions to be answered in the projects, examining existing databases and exploring data collection options, as well as a literature review of current evidence. </w:t>
      </w:r>
    </w:p>
    <w:p w14:paraId="5D76914D"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The Supplier may be required to develop the following outputs as part of the feasibility stage; a report on recommended data sources and tools including a </w:t>
      </w:r>
      <w:r w:rsidRPr="00116E91">
        <w:rPr>
          <w:b w:val="0"/>
          <w:bCs w:val="0"/>
          <w:sz w:val="24"/>
          <w:szCs w:val="24"/>
        </w:rPr>
        <w:lastRenderedPageBreak/>
        <w:t xml:space="preserve">project plan (and agreed dataset), cost estimates for the project, a data collection protocol, and a statistical analysis plan. </w:t>
      </w:r>
    </w:p>
    <w:p w14:paraId="28B117A2"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If a register requires external contracts, the Supplier will be required to establish the contracts and agree funding as outputs from the feasibility stage.</w:t>
      </w:r>
    </w:p>
    <w:p w14:paraId="2CE46178"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The feasibility step may be rapid (1 month) or advanced (3 months) but may be longer than this if agreements need to be made with third parties to access or collect data.  </w:t>
      </w:r>
    </w:p>
    <w:p w14:paraId="507BF43C" w14:textId="11218772" w:rsidR="00AE6015" w:rsidRPr="00AE6015" w:rsidRDefault="00AE6015" w:rsidP="00116E91">
      <w:pPr>
        <w:pStyle w:val="Heading2"/>
        <w:rPr>
          <w:lang w:bidi="ar-SA"/>
        </w:rPr>
      </w:pPr>
      <w:bookmarkStart w:id="70" w:name="_Toc495071611"/>
      <w:bookmarkStart w:id="71" w:name="_Toc80967855"/>
      <w:bookmarkStart w:id="72" w:name="_Toc83902649"/>
      <w:r w:rsidRPr="00AE6015">
        <w:rPr>
          <w:lang w:bidi="ar-SA"/>
        </w:rPr>
        <w:t xml:space="preserve">Adverse and serious adverse events </w:t>
      </w:r>
      <w:bookmarkEnd w:id="70"/>
      <w:bookmarkEnd w:id="71"/>
      <w:bookmarkEnd w:id="72"/>
    </w:p>
    <w:p w14:paraId="3E55921D" w14:textId="508CB67B"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NICE requires the Supplier to operate under principles of Good Clinical Practice (GCP) in research. Any adverse events involving people undergoing clinical trials or data collection exercises covered within the specification should be notified to bodies identified in the research protocol, which may include the MHRA, research ethics committee, and local R&amp;D department. The Supplier shall send a copy of the notification(s) to NICE within no more than </w:t>
      </w:r>
      <w:r w:rsidR="00EA7C7B">
        <w:rPr>
          <w:b w:val="0"/>
          <w:bCs w:val="0"/>
          <w:sz w:val="24"/>
          <w:szCs w:val="24"/>
        </w:rPr>
        <w:t>2</w:t>
      </w:r>
      <w:r w:rsidR="00EA7C7B" w:rsidRPr="00116E91">
        <w:rPr>
          <w:b w:val="0"/>
          <w:bCs w:val="0"/>
          <w:sz w:val="24"/>
          <w:szCs w:val="24"/>
        </w:rPr>
        <w:t xml:space="preserve"> </w:t>
      </w:r>
      <w:r w:rsidRPr="00116E91">
        <w:rPr>
          <w:b w:val="0"/>
          <w:bCs w:val="0"/>
          <w:sz w:val="24"/>
          <w:szCs w:val="24"/>
        </w:rPr>
        <w:t>working days from the emergence of the issue. This includes incidents where data collected under the specification fails to meet basic information governance requirements.</w:t>
      </w:r>
    </w:p>
    <w:p w14:paraId="73D34716" w14:textId="77777777" w:rsidR="00AE6015" w:rsidRPr="00AE6015" w:rsidRDefault="00AE6015" w:rsidP="00116E91">
      <w:pPr>
        <w:pStyle w:val="Heading2"/>
        <w:rPr>
          <w:lang w:bidi="ar-SA"/>
        </w:rPr>
      </w:pPr>
      <w:bookmarkStart w:id="73" w:name="_Toc495071612"/>
      <w:bookmarkStart w:id="74" w:name="_Toc80967856"/>
      <w:bookmarkStart w:id="75" w:name="_Toc83902650"/>
      <w:r w:rsidRPr="00AE6015">
        <w:rPr>
          <w:lang w:bidi="ar-SA"/>
        </w:rPr>
        <w:t>Grant applications</w:t>
      </w:r>
      <w:bookmarkEnd w:id="73"/>
      <w:bookmarkEnd w:id="74"/>
      <w:bookmarkEnd w:id="75"/>
    </w:p>
    <w:p w14:paraId="0B5B0E0F"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Where the studies required to answer the research question(s) are beyond the scope of the contract framework (</w:t>
      </w:r>
      <w:proofErr w:type="gramStart"/>
      <w:r w:rsidRPr="00116E91">
        <w:rPr>
          <w:b w:val="0"/>
          <w:bCs w:val="0"/>
          <w:sz w:val="24"/>
          <w:szCs w:val="24"/>
        </w:rPr>
        <w:t>e.g.</w:t>
      </w:r>
      <w:proofErr w:type="gramEnd"/>
      <w:r w:rsidRPr="00116E91">
        <w:rPr>
          <w:b w:val="0"/>
          <w:bCs w:val="0"/>
          <w:sz w:val="24"/>
          <w:szCs w:val="24"/>
        </w:rPr>
        <w:t xml:space="preserve"> in cost or duration), NICE may ask the Supplier to prepare 1 or more grant applications to a funding body, company, or other source of financial support. The process of applying for independent income to support evidence generation will include revisions of applications to the same funding body. </w:t>
      </w:r>
    </w:p>
    <w:p w14:paraId="3F36FAB0" w14:textId="77777777" w:rsidR="00AE6015" w:rsidRPr="00AE6015" w:rsidRDefault="00AE6015" w:rsidP="00116E91">
      <w:pPr>
        <w:pStyle w:val="Heading2"/>
        <w:rPr>
          <w:lang w:bidi="ar-SA"/>
        </w:rPr>
      </w:pPr>
      <w:bookmarkStart w:id="76" w:name="_Toc495071613"/>
      <w:bookmarkStart w:id="77" w:name="_Toc80967857"/>
      <w:bookmarkStart w:id="78" w:name="_Toc83902651"/>
      <w:r w:rsidRPr="00AE6015">
        <w:rPr>
          <w:lang w:bidi="ar-SA"/>
        </w:rPr>
        <w:t>Data collection requirements</w:t>
      </w:r>
      <w:bookmarkEnd w:id="76"/>
      <w:bookmarkEnd w:id="77"/>
      <w:bookmarkEnd w:id="78"/>
    </w:p>
    <w:p w14:paraId="3B3C1658"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The data collection and development role will be carried out by the Supplier on NICE’s behalf within the general principles of Good Clinical Practice (GCP) in research and the General Data Protection Regulation (and associated legislation) and as outlined in the Research Governance Framework for Health and Social Care 2005 and subsequent updates as specified in the UK Policy Framework for Health and Social Care Research produced by the Health Research Authority (HRA). As part of the GCP approach, the Supplier will be responsible for advising NICE on whether favourable ethical opinion is required for allocated register/data development work packages, and, where it is needed, for obtaining positive ethics opinion before the work package begins. Where ethics approval is considered unnecessary, the Supplier will be required to record how data protection and information governance </w:t>
      </w:r>
      <w:r w:rsidRPr="00116E91">
        <w:rPr>
          <w:b w:val="0"/>
          <w:bCs w:val="0"/>
          <w:sz w:val="24"/>
          <w:szCs w:val="24"/>
        </w:rPr>
        <w:lastRenderedPageBreak/>
        <w:t>requirements are met. This should include analysis of the sensitivity of all data fields proposed for collection.</w:t>
      </w:r>
    </w:p>
    <w:p w14:paraId="0B31F0BC"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In order to facilitate </w:t>
      </w:r>
      <w:proofErr w:type="gramStart"/>
      <w:r w:rsidRPr="00116E91">
        <w:rPr>
          <w:b w:val="0"/>
          <w:bCs w:val="0"/>
          <w:sz w:val="24"/>
          <w:szCs w:val="24"/>
        </w:rPr>
        <w:t>this</w:t>
      </w:r>
      <w:proofErr w:type="gramEnd"/>
      <w:r w:rsidRPr="00116E91">
        <w:rPr>
          <w:b w:val="0"/>
          <w:bCs w:val="0"/>
          <w:sz w:val="24"/>
          <w:szCs w:val="24"/>
        </w:rPr>
        <w:t xml:space="preserve"> work the Supplier shall make all necessary applications comply with applicable information governance requirements. </w:t>
      </w:r>
    </w:p>
    <w:p w14:paraId="15ED09B5" w14:textId="77777777" w:rsidR="00AE6015" w:rsidRPr="00AE6015" w:rsidRDefault="00AE6015" w:rsidP="00116E91">
      <w:pPr>
        <w:pStyle w:val="Heading2"/>
        <w:rPr>
          <w:lang w:bidi="ar-SA"/>
        </w:rPr>
      </w:pPr>
      <w:bookmarkStart w:id="79" w:name="_Toc494744012"/>
      <w:bookmarkStart w:id="80" w:name="_Toc495071614"/>
      <w:bookmarkStart w:id="81" w:name="_Toc80967858"/>
      <w:bookmarkStart w:id="82" w:name="_Toc83902652"/>
      <w:r w:rsidRPr="00AE6015">
        <w:rPr>
          <w:lang w:bidi="ar-SA"/>
        </w:rPr>
        <w:t>Systematic review and meta-analysis</w:t>
      </w:r>
      <w:bookmarkEnd w:id="79"/>
      <w:bookmarkEnd w:id="80"/>
      <w:bookmarkEnd w:id="81"/>
      <w:bookmarkEnd w:id="82"/>
    </w:p>
    <w:p w14:paraId="419A1B14"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Systematic reviews and meta-analysis of evidence may be in scope for some observational data work packages. This will normally be where the quantity of relevant evidence published during the primary data collection period is known or expected to be large. NICE may ask the Supplier for advice on the need for a systematic review in these circumstances.  </w:t>
      </w:r>
    </w:p>
    <w:p w14:paraId="500D9C31" w14:textId="77777777" w:rsidR="00AE6015" w:rsidRPr="00116E91" w:rsidRDefault="00AE6015" w:rsidP="00116E91">
      <w:pPr>
        <w:pStyle w:val="Heading3"/>
        <w:spacing w:line="240" w:lineRule="auto"/>
        <w:rPr>
          <w:b w:val="0"/>
          <w:bCs w:val="0"/>
          <w:sz w:val="24"/>
          <w:szCs w:val="24"/>
        </w:rPr>
      </w:pPr>
      <w:r w:rsidRPr="00116E91">
        <w:rPr>
          <w:b w:val="0"/>
          <w:bCs w:val="0"/>
          <w:sz w:val="24"/>
          <w:szCs w:val="24"/>
        </w:rPr>
        <w:t>The Supplier is responsible for seeking appropriate advice in preparing the systematic review from individuals and organisations, including but not limited to:</w:t>
      </w:r>
    </w:p>
    <w:p w14:paraId="352DDA0B" w14:textId="77777777" w:rsidR="00AE6015" w:rsidRPr="00AE6015" w:rsidRDefault="00AE6015" w:rsidP="00307335">
      <w:pPr>
        <w:pStyle w:val="ITTBodybullet2"/>
      </w:pPr>
      <w:r w:rsidRPr="00AE6015">
        <w:t>companies</w:t>
      </w:r>
    </w:p>
    <w:p w14:paraId="3B12B475" w14:textId="77777777" w:rsidR="00AE6015" w:rsidRPr="00AE6015" w:rsidRDefault="00AE6015" w:rsidP="00307335">
      <w:pPr>
        <w:pStyle w:val="ITTBodybullet2"/>
      </w:pPr>
      <w:r w:rsidRPr="00AE6015">
        <w:t>patient groups, for example, in the interpretation of patient</w:t>
      </w:r>
      <w:r w:rsidRPr="00AE6015">
        <w:rPr>
          <w:rFonts w:ascii="Cambria Math" w:hAnsi="Cambria Math" w:cs="Cambria Math"/>
        </w:rPr>
        <w:t>‑</w:t>
      </w:r>
      <w:r w:rsidRPr="00AE6015">
        <w:t>reported outcomes</w:t>
      </w:r>
    </w:p>
    <w:p w14:paraId="57A1CBE3" w14:textId="3E3ED09C" w:rsidR="00AE6015" w:rsidRPr="00AE6015" w:rsidRDefault="00AE6015" w:rsidP="00307335">
      <w:pPr>
        <w:pStyle w:val="ITTBodybullet2"/>
      </w:pPr>
      <w:r w:rsidRPr="00AE6015">
        <w:t xml:space="preserve">regulators such as the </w:t>
      </w:r>
      <w:r w:rsidR="00E40DBA">
        <w:t>MHRA</w:t>
      </w:r>
      <w:r w:rsidRPr="00AE6015">
        <w:t xml:space="preserve"> and the US Food and Drug Administration, in relation to the regulatory status of products and safety reports</w:t>
      </w:r>
    </w:p>
    <w:p w14:paraId="7517A611" w14:textId="77777777" w:rsidR="00AE6015" w:rsidRPr="00AE6015" w:rsidRDefault="00AE6015" w:rsidP="00307335">
      <w:pPr>
        <w:pStyle w:val="ITTBodybullet2"/>
      </w:pPr>
      <w:r w:rsidRPr="00AE6015">
        <w:t>NHS commissioners, in relation to how the service is delivered in the NHS</w:t>
      </w:r>
    </w:p>
    <w:p w14:paraId="274ADBE1" w14:textId="77777777" w:rsidR="00AE6015" w:rsidRPr="00AE6015" w:rsidRDefault="00AE6015" w:rsidP="00307335">
      <w:pPr>
        <w:pStyle w:val="ITTBodybullet2"/>
      </w:pPr>
      <w:r w:rsidRPr="00AE6015">
        <w:t>clinical specialists and specialist societies.</w:t>
      </w:r>
    </w:p>
    <w:p w14:paraId="7DE20A65" w14:textId="6E6C7BC5" w:rsidR="00AE6015" w:rsidRPr="00116E91" w:rsidRDefault="00AE6015" w:rsidP="00116E91">
      <w:pPr>
        <w:pStyle w:val="Heading3"/>
        <w:spacing w:line="240" w:lineRule="auto"/>
        <w:rPr>
          <w:b w:val="0"/>
          <w:bCs w:val="0"/>
          <w:sz w:val="24"/>
          <w:szCs w:val="24"/>
        </w:rPr>
      </w:pPr>
      <w:r w:rsidRPr="00116E91">
        <w:rPr>
          <w:b w:val="0"/>
          <w:bCs w:val="0"/>
          <w:sz w:val="24"/>
          <w:szCs w:val="24"/>
        </w:rPr>
        <w:t xml:space="preserve">The Supplier will produce a systematic review, with meta-analysis if required. The final review should be of a quality that enables NICE and NHS England </w:t>
      </w:r>
      <w:r w:rsidR="00E40DBA" w:rsidRPr="00116E91">
        <w:rPr>
          <w:b w:val="0"/>
          <w:bCs w:val="0"/>
          <w:sz w:val="24"/>
          <w:szCs w:val="24"/>
        </w:rPr>
        <w:t xml:space="preserve">and NHS Improvement </w:t>
      </w:r>
      <w:r w:rsidRPr="00116E91">
        <w:rPr>
          <w:b w:val="0"/>
          <w:bCs w:val="0"/>
          <w:sz w:val="24"/>
          <w:szCs w:val="24"/>
        </w:rPr>
        <w:t>to formulate commissioning recommendations on the procedure or technology on which observational data is being gathered.</w:t>
      </w:r>
    </w:p>
    <w:p w14:paraId="63B5C5B7" w14:textId="77777777" w:rsidR="00AE6015" w:rsidRPr="00092490" w:rsidRDefault="00AE6015" w:rsidP="00092490">
      <w:pPr>
        <w:pStyle w:val="Heading3"/>
        <w:spacing w:line="240" w:lineRule="auto"/>
        <w:rPr>
          <w:b w:val="0"/>
          <w:bCs w:val="0"/>
          <w:sz w:val="24"/>
          <w:szCs w:val="24"/>
        </w:rPr>
      </w:pPr>
      <w:r w:rsidRPr="00092490">
        <w:rPr>
          <w:b w:val="0"/>
          <w:bCs w:val="0"/>
          <w:sz w:val="24"/>
          <w:szCs w:val="24"/>
        </w:rPr>
        <w:t xml:space="preserve">The Supplier may also be called on to comment on the validity of any comments relating to the contents of the systematic review (and meta-analysis, if carried out), and to assist NICE in drafting responses to these. </w:t>
      </w:r>
    </w:p>
    <w:p w14:paraId="4F6EF597" w14:textId="77777777" w:rsidR="00AE6015" w:rsidRPr="00092490" w:rsidRDefault="00AE6015" w:rsidP="00092490">
      <w:pPr>
        <w:pStyle w:val="Heading3"/>
        <w:spacing w:line="240" w:lineRule="auto"/>
        <w:rPr>
          <w:b w:val="0"/>
          <w:bCs w:val="0"/>
          <w:sz w:val="24"/>
          <w:szCs w:val="24"/>
        </w:rPr>
      </w:pPr>
      <w:r w:rsidRPr="00092490">
        <w:rPr>
          <w:b w:val="0"/>
          <w:bCs w:val="0"/>
          <w:sz w:val="24"/>
          <w:szCs w:val="24"/>
        </w:rPr>
        <w:t>The systematic review may be made publicly available by NHS England or NICE. A publication policy will be agreed between NICE and The Supplier (and cover all other project collaborators). Outputs from projects are not expected to be published until after the publication of NICE’s guidance for the technology.</w:t>
      </w:r>
    </w:p>
    <w:p w14:paraId="6ED08236" w14:textId="77777777" w:rsidR="00AE6015" w:rsidRPr="00AE6015" w:rsidRDefault="00AE6015" w:rsidP="00307335">
      <w:pPr>
        <w:pStyle w:val="ITTgenericheading"/>
      </w:pPr>
      <w:bookmarkStart w:id="83" w:name="_Toc495071615"/>
      <w:bookmarkStart w:id="84" w:name="_Toc80967859"/>
      <w:r w:rsidRPr="00AE6015">
        <w:t xml:space="preserve">Project Steering Groups and </w:t>
      </w:r>
      <w:bookmarkEnd w:id="83"/>
      <w:r w:rsidRPr="00AE6015">
        <w:t>committees</w:t>
      </w:r>
      <w:bookmarkEnd w:id="84"/>
    </w:p>
    <w:p w14:paraId="50204215" w14:textId="3DA7DFD0" w:rsidR="00AE6015" w:rsidRPr="00092490" w:rsidRDefault="00AE6015" w:rsidP="00092490">
      <w:pPr>
        <w:pStyle w:val="Heading3"/>
        <w:spacing w:line="240" w:lineRule="auto"/>
        <w:rPr>
          <w:b w:val="0"/>
          <w:bCs w:val="0"/>
          <w:sz w:val="24"/>
          <w:szCs w:val="24"/>
        </w:rPr>
      </w:pPr>
      <w:r w:rsidRPr="00092490">
        <w:rPr>
          <w:b w:val="0"/>
          <w:bCs w:val="0"/>
          <w:sz w:val="24"/>
          <w:szCs w:val="24"/>
        </w:rPr>
        <w:t xml:space="preserve">In delivering register modules, the Supplier will work with and support NHS England </w:t>
      </w:r>
      <w:r w:rsidR="00E40DBA" w:rsidRPr="00092490">
        <w:rPr>
          <w:b w:val="0"/>
          <w:bCs w:val="0"/>
          <w:sz w:val="24"/>
          <w:szCs w:val="24"/>
        </w:rPr>
        <w:t xml:space="preserve">and NHS Improvement </w:t>
      </w:r>
      <w:r w:rsidRPr="00092490">
        <w:rPr>
          <w:b w:val="0"/>
          <w:bCs w:val="0"/>
          <w:sz w:val="24"/>
          <w:szCs w:val="24"/>
        </w:rPr>
        <w:t xml:space="preserve">Steering Group structures or pre-existing </w:t>
      </w:r>
      <w:r w:rsidRPr="00092490">
        <w:rPr>
          <w:b w:val="0"/>
          <w:bCs w:val="0"/>
          <w:sz w:val="24"/>
          <w:szCs w:val="24"/>
        </w:rPr>
        <w:lastRenderedPageBreak/>
        <w:t>groups/ committees convened by NICE and/or NHS England</w:t>
      </w:r>
      <w:r w:rsidR="00E40DBA" w:rsidRPr="00092490">
        <w:rPr>
          <w:b w:val="0"/>
          <w:bCs w:val="0"/>
          <w:sz w:val="24"/>
          <w:szCs w:val="24"/>
        </w:rPr>
        <w:t xml:space="preserve"> and Improvement</w:t>
      </w:r>
      <w:r w:rsidRPr="00092490">
        <w:rPr>
          <w:b w:val="0"/>
          <w:bCs w:val="0"/>
          <w:sz w:val="24"/>
          <w:szCs w:val="24"/>
        </w:rPr>
        <w:t>.</w:t>
      </w:r>
    </w:p>
    <w:p w14:paraId="0BF21D56" w14:textId="17EE2A4B" w:rsidR="00151CE2" w:rsidRPr="00AE6015" w:rsidRDefault="00151CE2" w:rsidP="00151CE2">
      <w:pPr>
        <w:rPr>
          <w:rFonts w:ascii="Arial" w:hAnsi="Arial" w:cs="Arial"/>
          <w:lang w:bidi="ar-SA"/>
        </w:rPr>
      </w:pPr>
      <w:bookmarkStart w:id="85" w:name="_Toc358285072"/>
    </w:p>
    <w:p w14:paraId="26D92D8E" w14:textId="77777777" w:rsidR="00151CE2" w:rsidRPr="00A4385A" w:rsidRDefault="00151CE2" w:rsidP="00151CE2">
      <w:pPr>
        <w:rPr>
          <w:rFonts w:ascii="Arial" w:hAnsi="Arial" w:cs="Arial"/>
          <w:lang w:bidi="ar-SA"/>
        </w:rPr>
      </w:pPr>
    </w:p>
    <w:bookmarkEnd w:id="85"/>
    <w:sectPr w:rsidR="00151CE2" w:rsidRPr="00A4385A" w:rsidSect="00A4385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D14" w14:textId="77777777" w:rsidR="000C1013" w:rsidRDefault="000C1013">
      <w:r>
        <w:separator/>
      </w:r>
    </w:p>
  </w:endnote>
  <w:endnote w:type="continuationSeparator" w:id="0">
    <w:p w14:paraId="3476E44E" w14:textId="77777777" w:rsidR="000C1013" w:rsidRDefault="000C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789" w14:textId="77777777" w:rsidR="000C1013" w:rsidRDefault="000C1013">
      <w:r>
        <w:separator/>
      </w:r>
    </w:p>
  </w:footnote>
  <w:footnote w:type="continuationSeparator" w:id="0">
    <w:p w14:paraId="0D679CCC" w14:textId="77777777" w:rsidR="000C1013" w:rsidRDefault="000C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8548" w14:textId="2587F86F" w:rsidR="000C1013" w:rsidRPr="00101637" w:rsidRDefault="000C1013" w:rsidP="00101637">
    <w:pPr>
      <w:spacing w:after="0"/>
      <w:jc w:val="center"/>
      <w:rPr>
        <w:rFonts w:ascii="Arial" w:hAnsi="Arial" w:cs="Arial"/>
      </w:rPr>
    </w:pPr>
    <w:r>
      <w:rPr>
        <w:rFonts w:ascii="Arial" w:hAnsi="Arial" w:cs="Arial"/>
      </w:rPr>
      <w:t>External Assessment Centres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FC002D5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sz w:val="24"/>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5706F5B"/>
    <w:multiLevelType w:val="hybridMultilevel"/>
    <w:tmpl w:val="0FCA3CD6"/>
    <w:lvl w:ilvl="0" w:tplc="64B4A314">
      <w:start w:val="1"/>
      <w:numFmt w:val="bullet"/>
      <w:pStyle w:val="ITTBody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66127D4D"/>
    <w:multiLevelType w:val="multilevel"/>
    <w:tmpl w:val="733EB1AC"/>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6"/>
  </w:num>
  <w:num w:numId="2">
    <w:abstractNumId w:val="4"/>
  </w:num>
  <w:num w:numId="3">
    <w:abstractNumId w:val="3"/>
  </w:num>
  <w:num w:numId="4">
    <w:abstractNumId w:val="5"/>
  </w:num>
  <w:num w:numId="5">
    <w:abstractNumId w:val="0"/>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490"/>
    <w:rsid w:val="00092F2B"/>
    <w:rsid w:val="00093975"/>
    <w:rsid w:val="00093B46"/>
    <w:rsid w:val="00093C14"/>
    <w:rsid w:val="000952CB"/>
    <w:rsid w:val="000955D3"/>
    <w:rsid w:val="00095E40"/>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5A5"/>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6C03"/>
    <w:rsid w:val="0010736F"/>
    <w:rsid w:val="001074FA"/>
    <w:rsid w:val="00107CDD"/>
    <w:rsid w:val="00110923"/>
    <w:rsid w:val="00111312"/>
    <w:rsid w:val="001115DB"/>
    <w:rsid w:val="00112288"/>
    <w:rsid w:val="00113F6B"/>
    <w:rsid w:val="00114244"/>
    <w:rsid w:val="00114FA7"/>
    <w:rsid w:val="001151C1"/>
    <w:rsid w:val="00115502"/>
    <w:rsid w:val="00115EF5"/>
    <w:rsid w:val="00115FF4"/>
    <w:rsid w:val="00116E91"/>
    <w:rsid w:val="00117B92"/>
    <w:rsid w:val="001203BB"/>
    <w:rsid w:val="00120939"/>
    <w:rsid w:val="00121531"/>
    <w:rsid w:val="001223D2"/>
    <w:rsid w:val="0012254D"/>
    <w:rsid w:val="00122E45"/>
    <w:rsid w:val="00123902"/>
    <w:rsid w:val="00123AE5"/>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1CE2"/>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C83"/>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0E86"/>
    <w:rsid w:val="00231F1F"/>
    <w:rsid w:val="002329AD"/>
    <w:rsid w:val="002333BE"/>
    <w:rsid w:val="00234A7D"/>
    <w:rsid w:val="00234B21"/>
    <w:rsid w:val="00235D75"/>
    <w:rsid w:val="00237320"/>
    <w:rsid w:val="00237813"/>
    <w:rsid w:val="00241744"/>
    <w:rsid w:val="00241931"/>
    <w:rsid w:val="002451E0"/>
    <w:rsid w:val="00245BE8"/>
    <w:rsid w:val="002465AF"/>
    <w:rsid w:val="002476D4"/>
    <w:rsid w:val="002476D9"/>
    <w:rsid w:val="00247AB8"/>
    <w:rsid w:val="00247C96"/>
    <w:rsid w:val="0025004C"/>
    <w:rsid w:val="00251525"/>
    <w:rsid w:val="002526D8"/>
    <w:rsid w:val="00252DA7"/>
    <w:rsid w:val="002533F4"/>
    <w:rsid w:val="00255382"/>
    <w:rsid w:val="00256C78"/>
    <w:rsid w:val="002573F7"/>
    <w:rsid w:val="002574FF"/>
    <w:rsid w:val="00260F1E"/>
    <w:rsid w:val="0026261D"/>
    <w:rsid w:val="00262B3C"/>
    <w:rsid w:val="00263F8E"/>
    <w:rsid w:val="0026441D"/>
    <w:rsid w:val="0026722C"/>
    <w:rsid w:val="00271F3C"/>
    <w:rsid w:val="00272AAE"/>
    <w:rsid w:val="00273576"/>
    <w:rsid w:val="00273AA7"/>
    <w:rsid w:val="0027564C"/>
    <w:rsid w:val="00276050"/>
    <w:rsid w:val="0027637B"/>
    <w:rsid w:val="002765DE"/>
    <w:rsid w:val="00276729"/>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07335"/>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148"/>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4F9"/>
    <w:rsid w:val="003B48C3"/>
    <w:rsid w:val="003B4C37"/>
    <w:rsid w:val="003B5253"/>
    <w:rsid w:val="003B537F"/>
    <w:rsid w:val="003B7388"/>
    <w:rsid w:val="003B753A"/>
    <w:rsid w:val="003B7FC2"/>
    <w:rsid w:val="003C0461"/>
    <w:rsid w:val="003C0723"/>
    <w:rsid w:val="003C28BE"/>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4FC6"/>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9E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19A2"/>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054"/>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347"/>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636D"/>
    <w:rsid w:val="005E00C0"/>
    <w:rsid w:val="005E0873"/>
    <w:rsid w:val="005E0D1F"/>
    <w:rsid w:val="005E1DA6"/>
    <w:rsid w:val="005E2614"/>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2DC6"/>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83B"/>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DFC"/>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174"/>
    <w:rsid w:val="0078270A"/>
    <w:rsid w:val="00784BA0"/>
    <w:rsid w:val="00784C25"/>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34A"/>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59D"/>
    <w:rsid w:val="00A36FD0"/>
    <w:rsid w:val="00A4034C"/>
    <w:rsid w:val="00A42DBE"/>
    <w:rsid w:val="00A43128"/>
    <w:rsid w:val="00A4385A"/>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588A"/>
    <w:rsid w:val="00A86CF0"/>
    <w:rsid w:val="00A871E9"/>
    <w:rsid w:val="00A8730F"/>
    <w:rsid w:val="00A87F4F"/>
    <w:rsid w:val="00A90FB6"/>
    <w:rsid w:val="00A92B42"/>
    <w:rsid w:val="00AA0EE2"/>
    <w:rsid w:val="00AA1152"/>
    <w:rsid w:val="00AA223F"/>
    <w:rsid w:val="00AA2CF5"/>
    <w:rsid w:val="00AA3710"/>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015"/>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2F"/>
    <w:rsid w:val="00B45F5B"/>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65A"/>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26FF6"/>
    <w:rsid w:val="00C3073B"/>
    <w:rsid w:val="00C342C1"/>
    <w:rsid w:val="00C36AC8"/>
    <w:rsid w:val="00C373B9"/>
    <w:rsid w:val="00C37B12"/>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0F30"/>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0D5F"/>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290E"/>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66D8"/>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0DBA"/>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412"/>
    <w:rsid w:val="00EA0B9A"/>
    <w:rsid w:val="00EA0F8A"/>
    <w:rsid w:val="00EA2CBE"/>
    <w:rsid w:val="00EA41D4"/>
    <w:rsid w:val="00EA4959"/>
    <w:rsid w:val="00EA6673"/>
    <w:rsid w:val="00EA6C58"/>
    <w:rsid w:val="00EA6D72"/>
    <w:rsid w:val="00EA6EFD"/>
    <w:rsid w:val="00EA6FF7"/>
    <w:rsid w:val="00EA7C7B"/>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7BF"/>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17A7"/>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5847"/>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3B44F9"/>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5319EC"/>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A8588A"/>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1074FA"/>
    <w:pPr>
      <w:numPr>
        <w:ilvl w:val="2"/>
      </w:numPr>
      <w:ind w:left="851" w:hanging="850"/>
    </w:pPr>
    <w:rPr>
      <w:sz w:val="24"/>
      <w:szCs w:val="24"/>
      <w:lang w:bidi="ar-SA"/>
    </w:r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3"/>
    <w:qFormat/>
    <w:rsid w:val="001074FA"/>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307335"/>
    <w:pPr>
      <w:tabs>
        <w:tab w:val="left" w:pos="1134"/>
      </w:tabs>
      <w:spacing w:line="240" w:lineRule="auto"/>
    </w:pPr>
    <w:rPr>
      <w:rFonts w:ascii="Arial" w:hAnsi="Arial" w:cs="Arial"/>
      <w:b/>
      <w:sz w:val="24"/>
      <w:szCs w:val="24"/>
      <w:lang w:bidi="ar-SA"/>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ind w:left="851" w:hanging="851"/>
    </w:pPr>
    <w:rPr>
      <w:b/>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1074FA"/>
    <w:pPr>
      <w:numPr>
        <w:ilvl w:val="0"/>
        <w:numId w:val="0"/>
      </w:numPr>
      <w:tabs>
        <w:tab w:val="left" w:pos="2835"/>
      </w:tabs>
      <w:ind w:left="851"/>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AE6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Bodybullet2">
    <w:name w:val="ITT Body bullet 2"/>
    <w:basedOn w:val="ListParagraph"/>
    <w:qFormat/>
    <w:rsid w:val="00307335"/>
    <w:pPr>
      <w:numPr>
        <w:numId w:val="7"/>
      </w:numPr>
      <w:spacing w:before="60" w:after="120"/>
      <w:ind w:left="1276" w:hanging="425"/>
      <w:contextualSpacing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3245</Words>
  <Characters>19117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22318</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5</cp:revision>
  <cp:lastPrinted>2017-09-28T09:50:00Z</cp:lastPrinted>
  <dcterms:created xsi:type="dcterms:W3CDTF">2021-09-30T12:59:00Z</dcterms:created>
  <dcterms:modified xsi:type="dcterms:W3CDTF">2021-11-10T10:55:00Z</dcterms:modified>
</cp:coreProperties>
</file>